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2C" w:rsidRDefault="00875D43" w:rsidP="000A2A2C">
      <w:pPr>
        <w:pStyle w:val="Akapitzlist"/>
        <w:ind w:left="1068"/>
        <w:jc w:val="both"/>
      </w:pPr>
      <w:r>
        <w:t xml:space="preserve"> </w:t>
      </w:r>
    </w:p>
    <w:p w:rsidR="000A2A2C" w:rsidRPr="000A2A2C" w:rsidRDefault="000A2A2C" w:rsidP="00A06015">
      <w:pPr>
        <w:spacing w:after="0"/>
        <w:ind w:firstLine="708"/>
        <w:jc w:val="center"/>
        <w:outlineLvl w:val="0"/>
        <w:rPr>
          <w:b/>
          <w:color w:val="FF0000"/>
          <w:sz w:val="36"/>
          <w:szCs w:val="36"/>
        </w:rPr>
      </w:pPr>
      <w:r w:rsidRPr="000A2A2C">
        <w:rPr>
          <w:b/>
          <w:color w:val="FF0000"/>
          <w:sz w:val="36"/>
          <w:szCs w:val="36"/>
        </w:rPr>
        <w:t>INFORMACJA - TRENDY-DESIGN - ramowy program</w:t>
      </w:r>
    </w:p>
    <w:p w:rsidR="000A2A2C" w:rsidRPr="000A2A2C" w:rsidRDefault="000A2A2C" w:rsidP="000A2A2C">
      <w:pPr>
        <w:ind w:firstLine="708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0A2A2C">
        <w:rPr>
          <w:b/>
          <w:sz w:val="24"/>
          <w:szCs w:val="24"/>
        </w:rPr>
        <w:t>Konferencja podsumowująca realizację projektu</w:t>
      </w:r>
      <w:r w:rsidR="00181786">
        <w:rPr>
          <w:b/>
          <w:sz w:val="24"/>
          <w:szCs w:val="24"/>
        </w:rPr>
        <w:t>:</w:t>
      </w:r>
      <w:r w:rsidRPr="000A2A2C">
        <w:rPr>
          <w:b/>
          <w:sz w:val="24"/>
          <w:szCs w:val="24"/>
        </w:rPr>
        <w:t xml:space="preserve"> Przygotowanie, utworzenie i promocja interdyscyplinarnego kierunku ,,Analiza i kreowanie trendów’’</w:t>
      </w:r>
    </w:p>
    <w:p w:rsidR="000A2A2C" w:rsidRPr="000A2A2C" w:rsidRDefault="000A2A2C" w:rsidP="000A2A2C">
      <w:pPr>
        <w:ind w:firstLine="708"/>
        <w:contextualSpacing/>
        <w:jc w:val="center"/>
        <w:outlineLvl w:val="0"/>
        <w:rPr>
          <w:b/>
          <w:sz w:val="24"/>
          <w:szCs w:val="24"/>
        </w:rPr>
      </w:pPr>
      <w:r w:rsidRPr="000A2A2C">
        <w:rPr>
          <w:b/>
          <w:sz w:val="24"/>
          <w:szCs w:val="24"/>
        </w:rPr>
        <w:t>Olsztyn, 10 grudnia 2015 r.</w:t>
      </w:r>
    </w:p>
    <w:p w:rsidR="000A2A2C" w:rsidRPr="000A2A2C" w:rsidRDefault="000A2A2C" w:rsidP="000A2A2C">
      <w:pPr>
        <w:contextualSpacing/>
        <w:jc w:val="center"/>
        <w:outlineLvl w:val="0"/>
        <w:rPr>
          <w:b/>
        </w:rPr>
      </w:pPr>
      <w:r w:rsidRPr="000A2A2C">
        <w:rPr>
          <w:b/>
        </w:rPr>
        <w:t>Miejsce konferencji: Centrum Edukacji Technologicznej Stara Kotłownia, sala 102</w:t>
      </w:r>
    </w:p>
    <w:p w:rsidR="000A2A2C" w:rsidRDefault="000A2A2C" w:rsidP="000A2A2C">
      <w:pPr>
        <w:contextualSpacing/>
        <w:jc w:val="center"/>
        <w:outlineLvl w:val="0"/>
        <w:rPr>
          <w:b/>
        </w:rPr>
      </w:pPr>
      <w:r w:rsidRPr="000A2A2C">
        <w:rPr>
          <w:b/>
        </w:rPr>
        <w:t xml:space="preserve">ul. </w:t>
      </w:r>
      <w:proofErr w:type="spellStart"/>
      <w:r w:rsidRPr="000A2A2C">
        <w:rPr>
          <w:b/>
        </w:rPr>
        <w:t>Prawocheńskiego</w:t>
      </w:r>
      <w:proofErr w:type="spellEnd"/>
      <w:r w:rsidRPr="000A2A2C">
        <w:rPr>
          <w:b/>
        </w:rPr>
        <w:t xml:space="preserve"> 9, Olsztyn </w:t>
      </w:r>
      <w:r w:rsidR="00205EF7">
        <w:rPr>
          <w:b/>
        </w:rPr>
        <w:t>–</w:t>
      </w:r>
      <w:r w:rsidRPr="000A2A2C">
        <w:rPr>
          <w:b/>
        </w:rPr>
        <w:t xml:space="preserve"> Kortowo</w:t>
      </w:r>
    </w:p>
    <w:p w:rsidR="00205EF7" w:rsidRPr="000A2A2C" w:rsidRDefault="00205EF7" w:rsidP="000A2A2C">
      <w:pPr>
        <w:contextualSpacing/>
        <w:jc w:val="center"/>
        <w:outlineLvl w:val="0"/>
        <w:rPr>
          <w:b/>
        </w:rPr>
      </w:pPr>
    </w:p>
    <w:tbl>
      <w:tblPr>
        <w:tblStyle w:val="Tabela-Siatka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904"/>
        <w:gridCol w:w="1356"/>
        <w:gridCol w:w="1206"/>
        <w:gridCol w:w="2188"/>
        <w:gridCol w:w="2417"/>
      </w:tblGrid>
      <w:tr w:rsidR="00E20CF5" w:rsidTr="001B2698">
        <w:trPr>
          <w:trHeight w:val="302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 xml:space="preserve">09.45 - 10.00     </w:t>
            </w:r>
          </w:p>
        </w:tc>
        <w:tc>
          <w:tcPr>
            <w:tcW w:w="8071" w:type="dxa"/>
            <w:gridSpan w:val="5"/>
          </w:tcPr>
          <w:p w:rsidR="00E20CF5" w:rsidRPr="00E20CF5" w:rsidRDefault="00E20CF5" w:rsidP="00205EF7">
            <w:pPr>
              <w:spacing w:after="0"/>
            </w:pPr>
            <w:r>
              <w:t>Rejestracja uczestników</w:t>
            </w:r>
          </w:p>
        </w:tc>
      </w:tr>
      <w:tr w:rsidR="00E20CF5" w:rsidTr="001B2698">
        <w:trPr>
          <w:trHeight w:val="497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>10:00 - 10.30</w:t>
            </w:r>
          </w:p>
        </w:tc>
        <w:tc>
          <w:tcPr>
            <w:tcW w:w="8071" w:type="dxa"/>
            <w:gridSpan w:val="5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>Powitanie</w:t>
            </w:r>
            <w:r>
              <w:rPr>
                <w:b/>
              </w:rPr>
              <w:t xml:space="preserve"> </w:t>
            </w:r>
            <w:r>
              <w:t xml:space="preserve">gości i uczestników Rektor/Prorektor, Dziekani Wydziałów (WH i WNE), Dyrektor </w:t>
            </w:r>
            <w:proofErr w:type="spellStart"/>
            <w:r>
              <w:t>CIiTT</w:t>
            </w:r>
            <w:proofErr w:type="spellEnd"/>
          </w:p>
        </w:tc>
      </w:tr>
      <w:tr w:rsidR="00E20CF5" w:rsidTr="001B2698">
        <w:trPr>
          <w:trHeight w:val="619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>10.30-11.00</w:t>
            </w:r>
          </w:p>
        </w:tc>
        <w:tc>
          <w:tcPr>
            <w:tcW w:w="8071" w:type="dxa"/>
            <w:gridSpan w:val="5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 xml:space="preserve">Podsumowanie projektu dr hab. Andrzej Kucner, Instytut Filozofii, </w:t>
            </w:r>
            <w:r w:rsidR="00E23888">
              <w:br/>
            </w:r>
            <w:r>
              <w:t xml:space="preserve">Wydział Humanistyczny, Ewa Dąbkowska - </w:t>
            </w:r>
            <w:proofErr w:type="spellStart"/>
            <w:r>
              <w:t>CIiTT</w:t>
            </w:r>
            <w:proofErr w:type="spellEnd"/>
          </w:p>
        </w:tc>
      </w:tr>
      <w:tr w:rsidR="00E20CF5" w:rsidTr="001B2698">
        <w:trPr>
          <w:trHeight w:val="619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 xml:space="preserve">11.00 - 11.30     </w:t>
            </w:r>
          </w:p>
        </w:tc>
        <w:tc>
          <w:tcPr>
            <w:tcW w:w="8071" w:type="dxa"/>
            <w:gridSpan w:val="5"/>
          </w:tcPr>
          <w:p w:rsidR="00E20CF5" w:rsidRPr="00E20CF5" w:rsidRDefault="00E20CF5" w:rsidP="00205EF7">
            <w:pPr>
              <w:spacing w:after="0"/>
            </w:pPr>
            <w:r w:rsidRPr="002C67AD">
              <w:rPr>
                <w:b/>
              </w:rPr>
              <w:t>Park Naukowo</w:t>
            </w:r>
            <w:r w:rsidR="00E533A1" w:rsidRPr="00E533A1">
              <w:rPr>
                <w:b/>
              </w:rPr>
              <w:t xml:space="preserve"> – </w:t>
            </w:r>
            <w:r w:rsidRPr="002C67AD">
              <w:rPr>
                <w:b/>
              </w:rPr>
              <w:t>Technologiczny jako stymulator innowacyjnego rozwoju</w:t>
            </w:r>
            <w:r w:rsidR="002F5FE4">
              <w:t xml:space="preserve">, </w:t>
            </w:r>
            <w:r w:rsidR="00E23888">
              <w:br/>
            </w:r>
            <w:r w:rsidR="002F5FE4" w:rsidRPr="002F5FE4">
              <w:t>Paweł Lulewicz</w:t>
            </w:r>
            <w:r w:rsidR="002F5FE4">
              <w:t>, Dyrektor Elbląskiego Parku Technologicznego</w:t>
            </w:r>
          </w:p>
        </w:tc>
      </w:tr>
      <w:tr w:rsidR="00FE6900" w:rsidTr="001B2698">
        <w:trPr>
          <w:trHeight w:val="619"/>
        </w:trPr>
        <w:tc>
          <w:tcPr>
            <w:tcW w:w="1502" w:type="dxa"/>
          </w:tcPr>
          <w:p w:rsidR="00FE6900" w:rsidRDefault="00FE6900" w:rsidP="00205EF7">
            <w:pPr>
              <w:spacing w:after="0"/>
              <w:outlineLvl w:val="0"/>
            </w:pPr>
            <w:r>
              <w:t>11.</w:t>
            </w:r>
            <w:r w:rsidR="00E443B6">
              <w:t>30</w:t>
            </w:r>
            <w:r>
              <w:t xml:space="preserve"> - 12.</w:t>
            </w:r>
            <w:r w:rsidR="00E443B6">
              <w:t>00</w:t>
            </w:r>
            <w:r>
              <w:t xml:space="preserve">     </w:t>
            </w:r>
          </w:p>
        </w:tc>
        <w:tc>
          <w:tcPr>
            <w:tcW w:w="8071" w:type="dxa"/>
            <w:gridSpan w:val="5"/>
          </w:tcPr>
          <w:p w:rsidR="00FE6900" w:rsidRDefault="00FE6900" w:rsidP="00205EF7">
            <w:pPr>
              <w:spacing w:after="0"/>
            </w:pPr>
            <w:r w:rsidRPr="002C67AD">
              <w:rPr>
                <w:b/>
              </w:rPr>
              <w:t>Kompetencje społeczne i trendy w branży IT</w:t>
            </w:r>
            <w:r w:rsidR="002F5FE4">
              <w:t xml:space="preserve">, Paweł Sadowski, </w:t>
            </w:r>
            <w:r w:rsidR="002F5FE4" w:rsidRPr="002F5FE4">
              <w:t>Wiceprezes Zarządu</w:t>
            </w:r>
            <w:r w:rsidR="002F5FE4">
              <w:t xml:space="preserve"> </w:t>
            </w:r>
            <w:r w:rsidR="002F5FE4" w:rsidRPr="002F5FE4">
              <w:t>ZETO SOFTWARE Sp. z o.o.</w:t>
            </w:r>
          </w:p>
        </w:tc>
      </w:tr>
      <w:tr w:rsidR="00E20CF5" w:rsidTr="001B2698">
        <w:trPr>
          <w:trHeight w:val="245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>1</w:t>
            </w:r>
            <w:r w:rsidR="00E443B6">
              <w:t>2</w:t>
            </w:r>
            <w:r>
              <w:t>.</w:t>
            </w:r>
            <w:r w:rsidR="00E443B6">
              <w:t>0</w:t>
            </w:r>
            <w:r>
              <w:t>0 - 1</w:t>
            </w:r>
            <w:r w:rsidR="00E443B6">
              <w:t>2</w:t>
            </w:r>
            <w:r>
              <w:t>.</w:t>
            </w:r>
            <w:r w:rsidR="00E443B6">
              <w:t>1</w:t>
            </w:r>
            <w:r>
              <w:t xml:space="preserve">5     </w:t>
            </w:r>
          </w:p>
        </w:tc>
        <w:tc>
          <w:tcPr>
            <w:tcW w:w="8071" w:type="dxa"/>
            <w:gridSpan w:val="5"/>
          </w:tcPr>
          <w:p w:rsidR="00E20CF5" w:rsidRPr="00E20CF5" w:rsidRDefault="00E20CF5" w:rsidP="00205EF7">
            <w:pPr>
              <w:spacing w:after="0"/>
            </w:pPr>
            <w:r>
              <w:t>Przerwa kawowa</w:t>
            </w:r>
          </w:p>
        </w:tc>
      </w:tr>
      <w:tr w:rsidR="00E20CF5" w:rsidTr="001B2698">
        <w:trPr>
          <w:trHeight w:val="619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 xml:space="preserve">12.15 - 12.45     </w:t>
            </w:r>
          </w:p>
        </w:tc>
        <w:tc>
          <w:tcPr>
            <w:tcW w:w="8071" w:type="dxa"/>
            <w:gridSpan w:val="5"/>
          </w:tcPr>
          <w:p w:rsidR="00E20CF5" w:rsidRPr="00E20CF5" w:rsidRDefault="00E20CF5" w:rsidP="00205EF7">
            <w:pPr>
              <w:spacing w:after="0"/>
            </w:pPr>
            <w:r w:rsidRPr="002C67AD">
              <w:rPr>
                <w:b/>
              </w:rPr>
              <w:t>Trendy we wzornictwie przemysłowym</w:t>
            </w:r>
            <w:r w:rsidR="00794A5B" w:rsidRPr="00EE7D96">
              <w:t xml:space="preserve">, Magdalena Statucka, </w:t>
            </w:r>
            <w:r w:rsidR="00EE7D96" w:rsidRPr="00EE7D96">
              <w:t xml:space="preserve">Wiceprezes </w:t>
            </w:r>
            <w:r w:rsidR="00794A5B" w:rsidRPr="00794A5B">
              <w:t>Stowarzyszeni</w:t>
            </w:r>
            <w:r w:rsidR="00794A5B">
              <w:t>a</w:t>
            </w:r>
            <w:r w:rsidR="00794A5B" w:rsidRPr="00794A5B">
              <w:t xml:space="preserve"> Wzornictw</w:t>
            </w:r>
            <w:r w:rsidR="00794A5B">
              <w:t>a</w:t>
            </w:r>
            <w:r w:rsidR="00794A5B" w:rsidRPr="00794A5B">
              <w:t xml:space="preserve"> Przemysłowe</w:t>
            </w:r>
            <w:r w:rsidR="00794A5B">
              <w:t>go</w:t>
            </w:r>
            <w:r w:rsidR="00794A5B" w:rsidRPr="00794A5B">
              <w:t xml:space="preserve"> Warmii i Mazur</w:t>
            </w:r>
          </w:p>
        </w:tc>
      </w:tr>
      <w:tr w:rsidR="00E20CF5" w:rsidTr="001B2698">
        <w:trPr>
          <w:trHeight w:val="574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  <w:rPr>
                <w:b/>
                <w:sz w:val="24"/>
                <w:szCs w:val="24"/>
              </w:rPr>
            </w:pPr>
            <w:r>
              <w:t xml:space="preserve">12.45 - 13.15     </w:t>
            </w:r>
          </w:p>
        </w:tc>
        <w:tc>
          <w:tcPr>
            <w:tcW w:w="8071" w:type="dxa"/>
            <w:gridSpan w:val="5"/>
          </w:tcPr>
          <w:p w:rsidR="00E20CF5" w:rsidRPr="00E20CF5" w:rsidRDefault="00E20CF5" w:rsidP="002945AF">
            <w:pPr>
              <w:spacing w:after="0"/>
            </w:pPr>
            <w:r w:rsidRPr="002C67AD">
              <w:rPr>
                <w:b/>
              </w:rPr>
              <w:t xml:space="preserve">Nowe trendy </w:t>
            </w:r>
            <w:r w:rsidR="00FE6900" w:rsidRPr="002C67AD">
              <w:rPr>
                <w:b/>
              </w:rPr>
              <w:t xml:space="preserve"> </w:t>
            </w:r>
            <w:r w:rsidRPr="002C67AD">
              <w:rPr>
                <w:b/>
              </w:rPr>
              <w:t>we współczesnej edukacji</w:t>
            </w:r>
            <w:r w:rsidR="00205EF7">
              <w:t xml:space="preserve">, </w:t>
            </w:r>
            <w:r w:rsidR="00205EF7" w:rsidRPr="00205EF7">
              <w:t>dr hab. Urszula Bartnikowska</w:t>
            </w:r>
            <w:r w:rsidR="00205EF7">
              <w:t>,</w:t>
            </w:r>
            <w:r w:rsidR="002945AF">
              <w:t xml:space="preserve"> prof. UWM</w:t>
            </w:r>
            <w:r w:rsidR="00E23888">
              <w:t>,</w:t>
            </w:r>
            <w:r w:rsidR="00205EF7">
              <w:t xml:space="preserve"> </w:t>
            </w:r>
            <w:r w:rsidR="00205EF7" w:rsidRPr="00205EF7">
              <w:t xml:space="preserve">Katedra </w:t>
            </w:r>
            <w:r w:rsidR="002945AF">
              <w:t>P</w:t>
            </w:r>
            <w:r w:rsidR="00205EF7" w:rsidRPr="00205EF7">
              <w:t xml:space="preserve">edagogiki </w:t>
            </w:r>
            <w:r w:rsidR="002945AF">
              <w:t>S</w:t>
            </w:r>
            <w:r w:rsidR="00205EF7" w:rsidRPr="00205EF7">
              <w:t>pecjalnej</w:t>
            </w:r>
            <w:r w:rsidR="00205EF7">
              <w:t>, Wydział Nauk Społecznych</w:t>
            </w:r>
          </w:p>
        </w:tc>
      </w:tr>
      <w:tr w:rsidR="00E20CF5" w:rsidTr="001B2698">
        <w:trPr>
          <w:trHeight w:val="604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</w:pPr>
            <w:r>
              <w:t xml:space="preserve">13.15 - 13.30  </w:t>
            </w:r>
          </w:p>
        </w:tc>
        <w:tc>
          <w:tcPr>
            <w:tcW w:w="8071" w:type="dxa"/>
            <w:gridSpan w:val="5"/>
          </w:tcPr>
          <w:p w:rsidR="00E20CF5" w:rsidRDefault="00E20CF5" w:rsidP="00E23888">
            <w:pPr>
              <w:spacing w:after="0"/>
              <w:ind w:left="34" w:hanging="34"/>
            </w:pPr>
            <w:r w:rsidRPr="002C67AD">
              <w:rPr>
                <w:b/>
              </w:rPr>
              <w:t xml:space="preserve">Analiza </w:t>
            </w:r>
            <w:r w:rsidRPr="00392110">
              <w:rPr>
                <w:b/>
              </w:rPr>
              <w:t>trendów – oferta studiów podyplomowych</w:t>
            </w:r>
            <w:r>
              <w:t>, dr Piotr Wasyluk</w:t>
            </w:r>
            <w:r w:rsidR="00890FEE">
              <w:t>,</w:t>
            </w:r>
            <w:r>
              <w:t xml:space="preserve"> </w:t>
            </w:r>
            <w:r w:rsidR="00E23888">
              <w:br/>
            </w:r>
            <w:r>
              <w:t>Instytut</w:t>
            </w:r>
            <w:r w:rsidR="00E23888">
              <w:t xml:space="preserve"> </w:t>
            </w:r>
            <w:r>
              <w:t>Filozofii, Wydział Humanistyczny</w:t>
            </w:r>
          </w:p>
        </w:tc>
      </w:tr>
      <w:tr w:rsidR="00E20CF5" w:rsidTr="001B2698">
        <w:trPr>
          <w:trHeight w:val="573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</w:pPr>
            <w:r>
              <w:t xml:space="preserve">13.30 - 13.45   </w:t>
            </w:r>
          </w:p>
        </w:tc>
        <w:tc>
          <w:tcPr>
            <w:tcW w:w="8071" w:type="dxa"/>
            <w:gridSpan w:val="5"/>
          </w:tcPr>
          <w:p w:rsidR="00E20CF5" w:rsidRDefault="00E20CF5" w:rsidP="00205EF7">
            <w:pPr>
              <w:spacing w:after="0"/>
            </w:pPr>
            <w:r>
              <w:t xml:space="preserve">Zakończenie i podsumowanie perspektywy współpracy z otoczeniem, </w:t>
            </w:r>
            <w:r>
              <w:br/>
              <w:t>dr Radosław Szulc</w:t>
            </w:r>
            <w:r w:rsidR="0003617C">
              <w:t>,</w:t>
            </w:r>
            <w:r>
              <w:t xml:space="preserve"> Katedra Analizy Rynku i Marketingu,</w:t>
            </w:r>
            <w:r w:rsidR="00356BBE">
              <w:t xml:space="preserve"> Wydział Nauk </w:t>
            </w:r>
            <w:r>
              <w:t>Ekonomicznych</w:t>
            </w:r>
          </w:p>
        </w:tc>
      </w:tr>
      <w:tr w:rsidR="00E20CF5" w:rsidTr="001B2698">
        <w:trPr>
          <w:trHeight w:val="159"/>
        </w:trPr>
        <w:tc>
          <w:tcPr>
            <w:tcW w:w="1502" w:type="dxa"/>
          </w:tcPr>
          <w:p w:rsidR="00E20CF5" w:rsidRDefault="00E20CF5" w:rsidP="00205EF7">
            <w:pPr>
              <w:spacing w:after="0"/>
              <w:outlineLvl w:val="0"/>
            </w:pPr>
            <w:r>
              <w:t xml:space="preserve">13.45 - 14.15     </w:t>
            </w:r>
          </w:p>
        </w:tc>
        <w:tc>
          <w:tcPr>
            <w:tcW w:w="8071" w:type="dxa"/>
            <w:gridSpan w:val="5"/>
          </w:tcPr>
          <w:p w:rsidR="00E20CF5" w:rsidRDefault="00E20CF5" w:rsidP="00205EF7">
            <w:pPr>
              <w:spacing w:after="0"/>
            </w:pPr>
            <w:r>
              <w:t>Lunch</w:t>
            </w:r>
          </w:p>
        </w:tc>
      </w:tr>
      <w:tr w:rsidR="00CA1C75" w:rsidTr="001B2698">
        <w:trPr>
          <w:trHeight w:val="619"/>
        </w:trPr>
        <w:tc>
          <w:tcPr>
            <w:tcW w:w="3762" w:type="dxa"/>
            <w:gridSpan w:val="3"/>
          </w:tcPr>
          <w:p w:rsidR="00A06015" w:rsidRDefault="00A06015" w:rsidP="00A06015">
            <w:pPr>
              <w:tabs>
                <w:tab w:val="center" w:pos="5245"/>
              </w:tabs>
              <w:spacing w:after="0"/>
              <w:ind w:left="29"/>
              <w:jc w:val="both"/>
              <w:rPr>
                <w:b/>
                <w:noProof/>
              </w:rPr>
            </w:pPr>
          </w:p>
          <w:p w:rsidR="00CA1C75" w:rsidRPr="00A06015" w:rsidRDefault="00CA1C75" w:rsidP="00A06015">
            <w:pPr>
              <w:tabs>
                <w:tab w:val="center" w:pos="5245"/>
              </w:tabs>
              <w:spacing w:after="0"/>
              <w:ind w:left="29"/>
              <w:jc w:val="both"/>
              <w:rPr>
                <w:b/>
                <w:noProof/>
              </w:rPr>
            </w:pPr>
            <w:r w:rsidRPr="00A06015">
              <w:rPr>
                <w:b/>
                <w:noProof/>
              </w:rPr>
              <w:t>Patronat honorowy</w:t>
            </w:r>
          </w:p>
        </w:tc>
        <w:tc>
          <w:tcPr>
            <w:tcW w:w="5811" w:type="dxa"/>
            <w:gridSpan w:val="3"/>
          </w:tcPr>
          <w:p w:rsidR="00CA1C75" w:rsidRDefault="00CA1C75" w:rsidP="00CA1C75">
            <w:pPr>
              <w:spacing w:after="0" w:line="240" w:lineRule="auto"/>
              <w:ind w:left="1451"/>
              <w:rPr>
                <w:noProof/>
              </w:rPr>
            </w:pPr>
          </w:p>
        </w:tc>
      </w:tr>
      <w:tr w:rsidR="00CA1C75" w:rsidTr="001B2698">
        <w:trPr>
          <w:trHeight w:val="1154"/>
        </w:trPr>
        <w:tc>
          <w:tcPr>
            <w:tcW w:w="3762" w:type="dxa"/>
            <w:gridSpan w:val="3"/>
          </w:tcPr>
          <w:p w:rsidR="00CA1C75" w:rsidRPr="00A06015" w:rsidRDefault="00CA1C75" w:rsidP="00A06015">
            <w:pPr>
              <w:tabs>
                <w:tab w:val="center" w:pos="5245"/>
              </w:tabs>
              <w:spacing w:after="0"/>
              <w:ind w:left="1163"/>
              <w:jc w:val="both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01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57197577" wp14:editId="06BC432F">
                  <wp:simplePos x="0" y="0"/>
                  <wp:positionH relativeFrom="column">
                    <wp:posOffset>50801</wp:posOffset>
                  </wp:positionH>
                  <wp:positionV relativeFrom="paragraph">
                    <wp:posOffset>74930</wp:posOffset>
                  </wp:positionV>
                  <wp:extent cx="507174" cy="581025"/>
                  <wp:effectExtent l="0" t="0" r="7620" b="0"/>
                  <wp:wrapNone/>
                  <wp:docPr id="48" name="Obraz 7" descr="herbwojewództw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rbwojewództw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87" cy="593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0AF">
              <w:rPr>
                <w:rFonts w:ascii="Calibri" w:eastAsia="Calibri" w:hAnsi="Calibri"/>
                <w:sz w:val="18"/>
                <w:szCs w:val="18"/>
                <w:lang w:eastAsia="en-US"/>
              </w:rPr>
              <w:t>Gustaw Marek Brzezin</w:t>
            </w: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ab/>
            </w:r>
          </w:p>
          <w:p w:rsidR="00CA1C75" w:rsidRPr="00A06015" w:rsidRDefault="00CA1C75" w:rsidP="00A06015">
            <w:pPr>
              <w:spacing w:after="0"/>
              <w:ind w:left="1163"/>
              <w:jc w:val="both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Marszałek </w:t>
            </w:r>
          </w:p>
          <w:p w:rsidR="00CA1C75" w:rsidRPr="00A06015" w:rsidRDefault="00CA1C75" w:rsidP="00A06015">
            <w:pPr>
              <w:spacing w:after="0"/>
              <w:ind w:left="1163"/>
              <w:jc w:val="both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Województwa </w:t>
            </w:r>
          </w:p>
          <w:p w:rsidR="00CA1C75" w:rsidRPr="00A06015" w:rsidRDefault="00CA1C75" w:rsidP="00A06015">
            <w:pPr>
              <w:spacing w:after="0"/>
              <w:ind w:left="1163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>Warmińsko-Mazurskiego</w:t>
            </w:r>
          </w:p>
        </w:tc>
        <w:tc>
          <w:tcPr>
            <w:tcW w:w="5811" w:type="dxa"/>
            <w:gridSpan w:val="3"/>
          </w:tcPr>
          <w:p w:rsidR="00CA1C75" w:rsidRPr="00A06015" w:rsidRDefault="00CA1C75" w:rsidP="00A06015">
            <w:pPr>
              <w:spacing w:after="0" w:line="240" w:lineRule="auto"/>
              <w:ind w:left="1304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01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7BB31C2A" wp14:editId="214C609C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-6350</wp:posOffset>
                  </wp:positionV>
                  <wp:extent cx="781050" cy="803381"/>
                  <wp:effectExtent l="0" t="0" r="0" b="0"/>
                  <wp:wrapNone/>
                  <wp:docPr id="47" name="Obraz 4" descr="logo-uw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-uw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>Ryszard Górecki</w:t>
            </w:r>
          </w:p>
          <w:p w:rsidR="00CA1C75" w:rsidRPr="00A06015" w:rsidRDefault="00CA1C75" w:rsidP="00A06015">
            <w:pPr>
              <w:spacing w:after="0" w:line="240" w:lineRule="auto"/>
              <w:ind w:left="1304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Rektor </w:t>
            </w:r>
          </w:p>
          <w:p w:rsidR="00CA1C75" w:rsidRPr="00A06015" w:rsidRDefault="00CA1C75" w:rsidP="00A06015">
            <w:pPr>
              <w:spacing w:after="0" w:line="240" w:lineRule="auto"/>
              <w:ind w:left="1304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Uniwersytetu </w:t>
            </w:r>
          </w:p>
          <w:p w:rsidR="00CA1C75" w:rsidRPr="00A06015" w:rsidRDefault="00CA1C75" w:rsidP="00A06015">
            <w:pPr>
              <w:spacing w:after="0" w:line="240" w:lineRule="auto"/>
              <w:ind w:left="1304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Warmińsko-Mazurskiego     </w:t>
            </w:r>
          </w:p>
          <w:p w:rsidR="00CA1C75" w:rsidRPr="00CA1C75" w:rsidRDefault="00CA1C75" w:rsidP="00A06015">
            <w:pPr>
              <w:spacing w:after="0" w:line="240" w:lineRule="auto"/>
              <w:ind w:left="1304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A06015">
              <w:rPr>
                <w:rFonts w:ascii="Calibri" w:eastAsia="Calibri" w:hAnsi="Calibri"/>
                <w:sz w:val="18"/>
                <w:szCs w:val="18"/>
                <w:lang w:eastAsia="en-US"/>
              </w:rPr>
              <w:t>w Olsztynie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A1C75" w:rsidTr="001B2698">
        <w:trPr>
          <w:trHeight w:val="574"/>
        </w:trPr>
        <w:tc>
          <w:tcPr>
            <w:tcW w:w="3762" w:type="dxa"/>
            <w:gridSpan w:val="3"/>
          </w:tcPr>
          <w:p w:rsidR="00CA1C75" w:rsidRDefault="00CA1C75" w:rsidP="00A0601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Patronat medialny</w:t>
            </w:r>
          </w:p>
        </w:tc>
        <w:tc>
          <w:tcPr>
            <w:tcW w:w="3393" w:type="dxa"/>
            <w:gridSpan w:val="2"/>
          </w:tcPr>
          <w:p w:rsidR="00CA1C75" w:rsidRDefault="008B01FD" w:rsidP="00CA1C75">
            <w:pPr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3FDA1D56" wp14:editId="2DA43C7E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6149340</wp:posOffset>
                  </wp:positionV>
                  <wp:extent cx="728980" cy="72898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7" w:type="dxa"/>
          </w:tcPr>
          <w:p w:rsidR="00CA1C75" w:rsidRDefault="00CA1C75" w:rsidP="00CA1C75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CA1C75" w:rsidTr="001B2698">
        <w:trPr>
          <w:trHeight w:val="1075"/>
        </w:trPr>
        <w:tc>
          <w:tcPr>
            <w:tcW w:w="2406" w:type="dxa"/>
            <w:gridSpan w:val="2"/>
          </w:tcPr>
          <w:p w:rsidR="00CA1C75" w:rsidRDefault="00A06015" w:rsidP="003365D0">
            <w:pPr>
              <w:spacing w:after="0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B5EBCC1" wp14:editId="5C7C2907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66675</wp:posOffset>
                  </wp:positionV>
                  <wp:extent cx="952500" cy="567055"/>
                  <wp:effectExtent l="0" t="0" r="0" b="4445"/>
                  <wp:wrapSquare wrapText="bothSides"/>
                  <wp:docPr id="2" name="Obraz 2" descr="https://upload.wikimedia.org/wikipedia/commons/thumb/3/3c/TVP_Olsztyn.png/240px-TVP_Olszty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3/3c/TVP_Olsztyn.png/240px-TVP_Olszty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2" w:type="dxa"/>
            <w:gridSpan w:val="2"/>
          </w:tcPr>
          <w:p w:rsidR="00CA1C75" w:rsidRDefault="00CA1C75" w:rsidP="003365D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3EE77B" wp14:editId="62432FC6">
                  <wp:extent cx="1315720" cy="416560"/>
                  <wp:effectExtent l="0" t="0" r="0" b="2540"/>
                  <wp:docPr id="45" name="Obraz 2" descr="radio%20olszt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dio%20olszt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</w:tcPr>
          <w:p w:rsidR="00CA1C75" w:rsidRDefault="003365D0" w:rsidP="003365D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68CB3D1" wp14:editId="1EDB408E">
                  <wp:simplePos x="0" y="0"/>
                  <wp:positionH relativeFrom="column">
                    <wp:posOffset>3180080</wp:posOffset>
                  </wp:positionH>
                  <wp:positionV relativeFrom="paragraph">
                    <wp:posOffset>5165725</wp:posOffset>
                  </wp:positionV>
                  <wp:extent cx="1198880" cy="351790"/>
                  <wp:effectExtent l="0" t="0" r="1270" b="0"/>
                  <wp:wrapNone/>
                  <wp:docPr id="5" name="Obraz 5" descr="logo-gazeta-olsztynska-410x121-21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gazeta-olsztynska-410x121-21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C484314" wp14:editId="5B4238A5">
                  <wp:extent cx="1209675" cy="36195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7" w:type="dxa"/>
          </w:tcPr>
          <w:p w:rsidR="00CA1C75" w:rsidRDefault="008B01FD" w:rsidP="00CA1C75">
            <w:pPr>
              <w:spacing w:after="240"/>
              <w:rPr>
                <w:b/>
                <w:sz w:val="24"/>
                <w:szCs w:val="24"/>
              </w:rPr>
            </w:pPr>
            <w:r w:rsidRPr="008B01FD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E466FBB" wp14:editId="3F3916F9">
                  <wp:extent cx="809625" cy="809625"/>
                  <wp:effectExtent l="0" t="0" r="9525" b="9525"/>
                  <wp:docPr id="8" name="Obraz 8" descr="C:\Users\Ewa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wa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1FD" w:rsidRDefault="008B01FD" w:rsidP="008B01FD">
            <w:pPr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3509625B" wp14:editId="440F0584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6149340</wp:posOffset>
                  </wp:positionV>
                  <wp:extent cx="728980" cy="72898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       </w:t>
            </w:r>
          </w:p>
        </w:tc>
      </w:tr>
    </w:tbl>
    <w:p w:rsidR="002B6A1E" w:rsidRPr="000A2A2C" w:rsidRDefault="002B6A1E" w:rsidP="00A06015"/>
    <w:sectPr w:rsidR="002B6A1E" w:rsidRPr="000A2A2C" w:rsidSect="0026752D">
      <w:headerReference w:type="default" r:id="rId15"/>
      <w:footerReference w:type="default" r:id="rId16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B5A" w:rsidRDefault="00BC3B5A" w:rsidP="009815C3">
      <w:pPr>
        <w:spacing w:after="0" w:line="240" w:lineRule="auto"/>
      </w:pPr>
      <w:r>
        <w:separator/>
      </w:r>
    </w:p>
  </w:endnote>
  <w:endnote w:type="continuationSeparator" w:id="0">
    <w:p w:rsidR="00BC3B5A" w:rsidRDefault="00BC3B5A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B63D1C" w:rsidP="00B63D1C">
    <w:pPr>
      <w:pStyle w:val="Stopka"/>
      <w:jc w:val="center"/>
      <w:rPr>
        <w:color w:val="3B3838"/>
        <w:sz w:val="20"/>
      </w:rPr>
    </w:pPr>
    <w:r w:rsidRPr="003871C9">
      <w:rPr>
        <w:color w:val="3B3838"/>
        <w:sz w:val="20"/>
      </w:rPr>
      <w:t>Projekt</w:t>
    </w:r>
    <w:r w:rsidRPr="003871C9">
      <w:rPr>
        <w:i/>
        <w:color w:val="3B3838"/>
        <w:sz w:val="20"/>
      </w:rPr>
      <w:t xml:space="preserve">: </w:t>
    </w:r>
    <w:r w:rsidRPr="003871C9">
      <w:rPr>
        <w:b/>
        <w:i/>
        <w:color w:val="3B3838"/>
        <w:sz w:val="20"/>
      </w:rPr>
      <w:t>Przygotowanie, utworzenie i promocja interdyscyplinarnego kierunku "Analiza i kreowanie trendów"</w:t>
    </w:r>
    <w:r w:rsidRPr="003871C9">
      <w:rPr>
        <w:i/>
        <w:color w:val="3B3838"/>
        <w:sz w:val="20"/>
      </w:rPr>
      <w:t xml:space="preserve"> </w:t>
    </w:r>
    <w:r w:rsidRPr="003871C9">
      <w:rPr>
        <w:color w:val="3B3838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B5A" w:rsidRDefault="00BC3B5A" w:rsidP="009815C3">
      <w:pPr>
        <w:spacing w:after="0" w:line="240" w:lineRule="auto"/>
      </w:pPr>
      <w:r>
        <w:separator/>
      </w:r>
    </w:p>
  </w:footnote>
  <w:footnote w:type="continuationSeparator" w:id="0">
    <w:p w:rsidR="00BC3B5A" w:rsidRDefault="00BC3B5A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26752D">
    <w:pPr>
      <w:pStyle w:val="Nagwek"/>
      <w:rPr>
        <w:color w:val="767171"/>
      </w:rPr>
    </w:pPr>
    <w:r w:rsidRPr="003871C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709C9D0E" wp14:editId="4342151A">
          <wp:simplePos x="0" y="0"/>
          <wp:positionH relativeFrom="column">
            <wp:posOffset>4834255</wp:posOffset>
          </wp:positionH>
          <wp:positionV relativeFrom="paragraph">
            <wp:posOffset>-730250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1C9">
      <w:rPr>
        <w:noProof/>
        <w:color w:val="767171"/>
      </w:rPr>
      <w:drawing>
        <wp:anchor distT="0" distB="0" distL="114300" distR="114300" simplePos="0" relativeHeight="251660288" behindDoc="0" locked="0" layoutInCell="1" allowOverlap="1" wp14:anchorId="59305964" wp14:editId="2EE22E17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F25AA"/>
    <w:multiLevelType w:val="hybridMultilevel"/>
    <w:tmpl w:val="49A6C95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12565"/>
    <w:rsid w:val="00016032"/>
    <w:rsid w:val="000230B9"/>
    <w:rsid w:val="0003617C"/>
    <w:rsid w:val="000A2A2C"/>
    <w:rsid w:val="0018161B"/>
    <w:rsid w:val="00181786"/>
    <w:rsid w:val="001A00C8"/>
    <w:rsid w:val="001A795D"/>
    <w:rsid w:val="001B2698"/>
    <w:rsid w:val="001D4D92"/>
    <w:rsid w:val="001F4F2B"/>
    <w:rsid w:val="00205EF7"/>
    <w:rsid w:val="00241F3D"/>
    <w:rsid w:val="0024322E"/>
    <w:rsid w:val="002479A0"/>
    <w:rsid w:val="0026752D"/>
    <w:rsid w:val="002700AF"/>
    <w:rsid w:val="002945AF"/>
    <w:rsid w:val="002B6A1E"/>
    <w:rsid w:val="002C2491"/>
    <w:rsid w:val="002C67AD"/>
    <w:rsid w:val="002C68C6"/>
    <w:rsid w:val="002F2EE0"/>
    <w:rsid w:val="002F5FE4"/>
    <w:rsid w:val="002F7A62"/>
    <w:rsid w:val="003365D0"/>
    <w:rsid w:val="003435EE"/>
    <w:rsid w:val="00356BBE"/>
    <w:rsid w:val="003871C9"/>
    <w:rsid w:val="00392110"/>
    <w:rsid w:val="003B7668"/>
    <w:rsid w:val="003F4636"/>
    <w:rsid w:val="00405B83"/>
    <w:rsid w:val="00446DD0"/>
    <w:rsid w:val="00456539"/>
    <w:rsid w:val="00464718"/>
    <w:rsid w:val="00466356"/>
    <w:rsid w:val="00480F5A"/>
    <w:rsid w:val="004A0C10"/>
    <w:rsid w:val="004F3349"/>
    <w:rsid w:val="005C33AE"/>
    <w:rsid w:val="00674CFD"/>
    <w:rsid w:val="006B59A0"/>
    <w:rsid w:val="006D0C69"/>
    <w:rsid w:val="007474FE"/>
    <w:rsid w:val="00794A5B"/>
    <w:rsid w:val="007B483C"/>
    <w:rsid w:val="0087309F"/>
    <w:rsid w:val="00875D43"/>
    <w:rsid w:val="00890FEE"/>
    <w:rsid w:val="008B01FD"/>
    <w:rsid w:val="009815C3"/>
    <w:rsid w:val="009A3AF9"/>
    <w:rsid w:val="009B3F2A"/>
    <w:rsid w:val="00A06015"/>
    <w:rsid w:val="00AC6FD7"/>
    <w:rsid w:val="00B6269F"/>
    <w:rsid w:val="00B63D1C"/>
    <w:rsid w:val="00BA7A13"/>
    <w:rsid w:val="00BB5D56"/>
    <w:rsid w:val="00BC3B5A"/>
    <w:rsid w:val="00C0709E"/>
    <w:rsid w:val="00C576BA"/>
    <w:rsid w:val="00C70DFB"/>
    <w:rsid w:val="00C80EF7"/>
    <w:rsid w:val="00CA1C75"/>
    <w:rsid w:val="00CC304E"/>
    <w:rsid w:val="00E0508B"/>
    <w:rsid w:val="00E20CF5"/>
    <w:rsid w:val="00E2370A"/>
    <w:rsid w:val="00E23888"/>
    <w:rsid w:val="00E26C1F"/>
    <w:rsid w:val="00E443B6"/>
    <w:rsid w:val="00E533A1"/>
    <w:rsid w:val="00E6502A"/>
    <w:rsid w:val="00EB6482"/>
    <w:rsid w:val="00EE7D96"/>
    <w:rsid w:val="00EF7111"/>
    <w:rsid w:val="00F45976"/>
    <w:rsid w:val="00F548F1"/>
    <w:rsid w:val="00F574C9"/>
    <w:rsid w:val="00FB0621"/>
    <w:rsid w:val="00FE6900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CC304E"/>
    <w:pPr>
      <w:ind w:left="720"/>
      <w:contextualSpacing/>
    </w:pPr>
  </w:style>
  <w:style w:type="character" w:customStyle="1" w:styleId="grame">
    <w:name w:val="grame"/>
    <w:basedOn w:val="Domylnaczcionkaakapitu"/>
    <w:rsid w:val="00E6502A"/>
  </w:style>
  <w:style w:type="character" w:styleId="Hipercze">
    <w:name w:val="Hyperlink"/>
    <w:rsid w:val="00E6502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2C2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C249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ytul">
    <w:name w:val="tytul"/>
    <w:basedOn w:val="Domylnaczcionkaakapitu"/>
    <w:rsid w:val="00480F5A"/>
  </w:style>
  <w:style w:type="table" w:styleId="Tabela-Siatka">
    <w:name w:val="Table Grid"/>
    <w:basedOn w:val="Standardowy"/>
    <w:uiPriority w:val="39"/>
    <w:rsid w:val="00E2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43</cp:revision>
  <cp:lastPrinted>2015-11-23T06:23:00Z</cp:lastPrinted>
  <dcterms:created xsi:type="dcterms:W3CDTF">2015-03-18T21:01:00Z</dcterms:created>
  <dcterms:modified xsi:type="dcterms:W3CDTF">2015-11-26T09:02:00Z</dcterms:modified>
</cp:coreProperties>
</file>