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2AD" w:rsidRPr="002962AD" w:rsidRDefault="002962AD" w:rsidP="002962AD">
      <w:pPr>
        <w:rPr>
          <w:rFonts w:eastAsia="Times New Roman" w:cstheme="minorHAnsi"/>
          <w:u w:val="single"/>
          <w:lang w:eastAsia="pl-PL"/>
        </w:rPr>
      </w:pPr>
      <w:proofErr w:type="spellStart"/>
      <w:r w:rsidRPr="002962AD">
        <w:rPr>
          <w:rFonts w:eastAsia="Times New Roman" w:cstheme="minorHAnsi"/>
          <w:color w:val="000000"/>
          <w:u w:val="single"/>
          <w:lang w:val="es-ES" w:eastAsia="pl-PL"/>
        </w:rPr>
        <w:t>Bibliografia</w:t>
      </w:r>
      <w:proofErr w:type="spellEnd"/>
      <w:r w:rsidRPr="002962AD">
        <w:rPr>
          <w:rFonts w:eastAsia="Times New Roman" w:cstheme="minorHAnsi"/>
          <w:color w:val="000000"/>
          <w:u w:val="single"/>
          <w:lang w:val="es-ES" w:eastAsia="pl-PL"/>
        </w:rPr>
        <w:t xml:space="preserve"> XI </w:t>
      </w:r>
      <w:r w:rsidRPr="002962AD">
        <w:rPr>
          <w:rFonts w:eastAsia="Times New Roman" w:cstheme="minorHAnsi"/>
          <w:color w:val="000000"/>
          <w:u w:val="single"/>
          <w:lang w:eastAsia="pl-PL"/>
        </w:rPr>
        <w:t>Ogólnopolski</w:t>
      </w:r>
      <w:r w:rsidRPr="002962AD">
        <w:rPr>
          <w:rFonts w:eastAsia="Times New Roman" w:cstheme="minorHAnsi"/>
          <w:color w:val="000000"/>
          <w:u w:val="single"/>
          <w:lang w:eastAsia="pl-PL"/>
        </w:rPr>
        <w:t>ego</w:t>
      </w:r>
      <w:r w:rsidRPr="002962AD">
        <w:rPr>
          <w:rFonts w:eastAsia="Times New Roman" w:cstheme="minorHAnsi"/>
          <w:color w:val="000000"/>
          <w:u w:val="single"/>
          <w:lang w:eastAsia="pl-PL"/>
        </w:rPr>
        <w:t xml:space="preserve"> Konkurs</w:t>
      </w:r>
      <w:r w:rsidRPr="002962AD">
        <w:rPr>
          <w:rFonts w:eastAsia="Times New Roman" w:cstheme="minorHAnsi"/>
          <w:color w:val="000000"/>
          <w:u w:val="single"/>
          <w:lang w:eastAsia="pl-PL"/>
        </w:rPr>
        <w:t>u</w:t>
      </w:r>
      <w:r w:rsidRPr="002962AD">
        <w:rPr>
          <w:rFonts w:eastAsia="Times New Roman" w:cstheme="minorHAnsi"/>
          <w:color w:val="000000"/>
          <w:u w:val="single"/>
          <w:lang w:eastAsia="pl-PL"/>
        </w:rPr>
        <w:t xml:space="preserve"> Prawa Kanonicznego dla Studentów</w:t>
      </w:r>
      <w:r w:rsidRPr="002962AD">
        <w:rPr>
          <w:rFonts w:eastAsia="Times New Roman" w:cstheme="minorHAnsi"/>
          <w:color w:val="000000"/>
          <w:u w:val="single"/>
          <w:lang w:eastAsia="pl-PL"/>
        </w:rPr>
        <w:t>:</w:t>
      </w:r>
    </w:p>
    <w:p w:rsidR="002962AD" w:rsidRPr="002962AD" w:rsidRDefault="002962AD" w:rsidP="002962AD">
      <w:pPr>
        <w:jc w:val="both"/>
        <w:rPr>
          <w:rFonts w:eastAsia="Times New Roman" w:cstheme="minorHAnsi"/>
          <w:color w:val="000000"/>
          <w:sz w:val="22"/>
          <w:szCs w:val="22"/>
          <w:lang w:val="es-ES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val="en-US" w:eastAsia="pl-PL"/>
        </w:rPr>
      </w:pPr>
      <w:r w:rsidRPr="002962AD">
        <w:rPr>
          <w:rFonts w:eastAsia="Times New Roman" w:cstheme="minorHAnsi"/>
          <w:b/>
          <w:bCs/>
          <w:color w:val="000000"/>
          <w:sz w:val="22"/>
          <w:szCs w:val="22"/>
          <w:lang w:val="es-ES" w:eastAsia="pl-PL"/>
        </w:rPr>
        <w:t>Kan. 1311-1399 KPK/1983;</w:t>
      </w:r>
    </w:p>
    <w:p w:rsidR="002962AD" w:rsidRPr="002962AD" w:rsidRDefault="002962AD" w:rsidP="002962AD">
      <w:pPr>
        <w:pStyle w:val="Akapitzlist"/>
        <w:jc w:val="both"/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en-US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JOANNES PAULUS II,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n-US" w:eastAsia="pl-PL"/>
        </w:rPr>
        <w:t>Constitutio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apostolica Pastor Bonus, art. 48-55, 28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n-US" w:eastAsia="pl-PL"/>
        </w:rPr>
        <w:t>iunii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1988, AAS 80 (1988) s. 841-912;</w:t>
      </w:r>
    </w:p>
    <w:p w:rsidR="002962AD" w:rsidRPr="002962AD" w:rsidRDefault="002962AD" w:rsidP="002962AD">
      <w:pPr>
        <w:pStyle w:val="Akapitzlist"/>
        <w:jc w:val="both"/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JOANNES PAULUS II,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Litterae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Apostolicae motu proprio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datae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quibus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Normae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gravioribus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delictis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Congregationi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gram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pro Doctrina</w:t>
      </w:r>
      <w:proofErr w:type="gram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Fidei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reservatis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promulgantur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Sacramentorum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Sanctitatis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Tutela, 30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aprilis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2001, AAS 93 (2001), s. 737-739;</w:t>
      </w:r>
    </w:p>
    <w:p w:rsidR="002962AD" w:rsidRPr="002962AD" w:rsidRDefault="002962AD" w:rsidP="002962AD">
      <w:pPr>
        <w:pStyle w:val="Akapitzlist"/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CONGREGATIO </w:t>
      </w:r>
      <w:proofErr w:type="gram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PRO DOCTRINA</w:t>
      </w:r>
      <w:proofErr w:type="gram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FIDEI,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Epistula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a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Congregatione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pro Doctrina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Fidei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missa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ad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totius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Catholicae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Ecclesiae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Episcopos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aliosquae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Ordinarios et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Hierarchos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interesse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habentes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: de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delictis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gravioribus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eidem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Congregationi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pro Doctrina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Fidei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reservatis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, 18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maii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2001, AAS 93 (2001), s. 785-788. </w:t>
      </w:r>
      <w:r w:rsidRPr="002962AD">
        <w:rPr>
          <w:rFonts w:eastAsia="Times New Roman" w:cstheme="minorHAnsi"/>
          <w:color w:val="000000"/>
          <w:sz w:val="22"/>
          <w:szCs w:val="22"/>
          <w:lang w:eastAsia="pl-PL"/>
        </w:rPr>
        <w:t>Zob. tłumaczenie polskie Listu Kongregacji Doktryny Wiary, „Miesięcznik Pasterski Płocki” 68 (2001) nr 10, s. 415-417;</w:t>
      </w:r>
    </w:p>
    <w:p w:rsidR="002962AD" w:rsidRPr="002962AD" w:rsidRDefault="002962AD" w:rsidP="002962AD">
      <w:pPr>
        <w:pStyle w:val="Akapitzlist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CONGREGATIO </w:t>
      </w:r>
      <w:proofErr w:type="gram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PRO DOCTRINA</w:t>
      </w:r>
      <w:proofErr w:type="gram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FIDEI,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Normae de delictis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Congregationi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pro Doctrina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Fidei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reservatis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seu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Normae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delictis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contra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fidem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necnon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gravioribus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delictis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(21.05.2010), AAS 102 (2010), s. 419-434;</w:t>
      </w:r>
    </w:p>
    <w:p w:rsidR="002962AD" w:rsidRPr="002962AD" w:rsidRDefault="002962AD" w:rsidP="002962AD">
      <w:pPr>
        <w:pStyle w:val="Akapitzlist"/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CONGREGAZIONE PER LA DOTTRINA DELLA FEDE, Norme sui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delitti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riservati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alla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Congregazione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per la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Dottrina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della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Fede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Città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del Vaticano 2012;</w:t>
      </w:r>
    </w:p>
    <w:p w:rsidR="002962AD" w:rsidRPr="002962AD" w:rsidRDefault="002962AD" w:rsidP="002962AD">
      <w:pPr>
        <w:pStyle w:val="Akapitzlist"/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CONGREGAZIONE PER LA DOTTRINA DELLA FEDE,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Lettera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circolare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per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aiutare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le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Conferenze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Episcopali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nel preparare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Linee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guida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per il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trattamento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dei casi di abuso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sessuale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nei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confronti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di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minori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da parte di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chierici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, 3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maggio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2011, AAS 103 (2011), s. 406-412;</w:t>
      </w:r>
    </w:p>
    <w:p w:rsidR="002962AD" w:rsidRPr="002962AD" w:rsidRDefault="002962AD" w:rsidP="002962AD">
      <w:pPr>
        <w:pStyle w:val="Akapitzlist"/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CONGRAGATIO PRO DOCRTINA FIDEI,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Directorium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quoad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abusus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sexuales in minores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patratos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(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lingua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anglica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una cum versione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italica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), „Communicationes” 43 (2011), s. 58-61;</w:t>
      </w:r>
    </w:p>
    <w:p w:rsidR="002962AD" w:rsidRPr="002962AD" w:rsidRDefault="002962AD" w:rsidP="002962AD">
      <w:pPr>
        <w:pStyle w:val="Akapitzlist"/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eastAsia="pl-PL"/>
        </w:rPr>
        <w:t>KONFERENCJA EPISKOPATU POLSKI, Wytyczne dotyczące wstępnego dochodzenia kanonicznego w przypadku oskarżeń duchownych o czyny przeciwko szóstemu przykazaniu Dekalogu z osobą niepełnoletnią poniżej osiemnastego roku życia wraz z Aneksami nr 1-3, przyjęte podczas 366. Zebrania Plenarnego KEP, które odbyło się w warszawie w dniach 7-8 października 2014 roku, Warszawa 2014;</w:t>
      </w:r>
    </w:p>
    <w:p w:rsidR="002962AD" w:rsidRPr="002962AD" w:rsidRDefault="002962AD" w:rsidP="002962AD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eastAsia="pl-PL"/>
        </w:rPr>
        <w:t>KONFERENCJA WYŻSZYCH PRZEŁOŻONYCH ZAKONÓW MĘSKICH W POLSCE, Niektóre wskazania w przypadkach oskarżeń o molestowanie seksualne, Dokument zatwierdzony podczas 132 Zebrania Plenarnego KWPZM w Polsce, które odbyło się w Warszawie, dniu 13 maja 2014 roku, Warszawa 2014;</w:t>
      </w:r>
    </w:p>
    <w:p w:rsidR="002962AD" w:rsidRPr="002962AD" w:rsidRDefault="002962AD" w:rsidP="002962AD">
      <w:pPr>
        <w:pStyle w:val="Akapitzlist"/>
        <w:rPr>
          <w:rFonts w:eastAsia="Times New Roman" w:cstheme="minorHAnsi"/>
          <w:color w:val="000000"/>
          <w:sz w:val="22"/>
          <w:szCs w:val="22"/>
          <w:lang w:val="es-ES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it-IT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FRANCISCUS,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Lettera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apostolica motu proprio Come una madre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ammorevole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, 4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giugno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2016, „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Communiationes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” 98 (2016), s. 34-36;</w:t>
      </w:r>
    </w:p>
    <w:p w:rsidR="002962AD" w:rsidRPr="002962AD" w:rsidRDefault="002962AD" w:rsidP="002962AD">
      <w:pPr>
        <w:pStyle w:val="Akapitzlist"/>
        <w:rPr>
          <w:rFonts w:eastAsia="Times New Roman" w:cstheme="minorHAnsi"/>
          <w:color w:val="000000"/>
          <w:sz w:val="22"/>
          <w:szCs w:val="22"/>
          <w:lang w:val="es-ES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es-ES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FRANCISCUS,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Lettera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apostolica motu proprio, Vos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estis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lux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mundi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, 7 maja 2019r.</w:t>
      </w:r>
      <w:hyperlink r:id="rId5" w:tgtFrame="_blank" w:history="1">
        <w:r w:rsidRPr="002962AD">
          <w:rPr>
            <w:rFonts w:eastAsia="Times New Roman" w:cstheme="minorHAnsi"/>
            <w:color w:val="0000FF"/>
            <w:sz w:val="22"/>
            <w:szCs w:val="22"/>
            <w:u w:val="single"/>
            <w:lang w:val="es-ES" w:eastAsia="pl-PL"/>
          </w:rPr>
          <w:t>http://www.vatican.va/content/francesco/pl/motu_proprio/documents/papa-francesco-motu-proprio-20190507_vos-estis-lux-mundi.html</w:t>
        </w:r>
      </w:hyperlink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 ;</w:t>
      </w:r>
    </w:p>
    <w:p w:rsidR="002962AD" w:rsidRPr="002962AD" w:rsidRDefault="002962AD" w:rsidP="002962AD">
      <w:pPr>
        <w:pStyle w:val="Akapitzlist"/>
        <w:rPr>
          <w:rFonts w:eastAsia="Times New Roman" w:cstheme="minorHAnsi"/>
          <w:color w:val="000000"/>
          <w:sz w:val="22"/>
          <w:szCs w:val="22"/>
          <w:lang w:val="es-ES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es-ES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eastAsia="pl-PL"/>
        </w:rPr>
        <w:t>Uchwała nr 14/384/2019 KONFERENCJI EPISKOPATU POLSKI z dnia 8 października 2019 r. w sprawie nowelizacji Wytycznych dotyczących wstępnego dochodzenia kanonicznego w przypadku oskarżeń duchownych o czyny przeciwko szóstemu przykazaniu Dekalogu z osobą niepełnoletnią poniżej osiemnastego roku życia, Akta Konferencji Episkopatu Polski nr 31/2019;</w:t>
      </w:r>
    </w:p>
    <w:p w:rsidR="002962AD" w:rsidRPr="002962AD" w:rsidRDefault="002962AD" w:rsidP="002962AD">
      <w:pPr>
        <w:pStyle w:val="Akapitzlist"/>
        <w:rPr>
          <w:rFonts w:eastAsia="Times New Roman" w:cstheme="minorHAnsi"/>
          <w:color w:val="000000"/>
          <w:sz w:val="22"/>
          <w:szCs w:val="22"/>
          <w:lang w:val="es-ES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es-ES" w:eastAsia="pl-PL"/>
        </w:rPr>
      </w:pP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Rescriptum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ex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audientia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SS.mi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: Rescripto del Santo Padre Francesco con cui si promulga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l’Istruzione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sulla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riserva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delle cause, 17.12.2019,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Bolletino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Sala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Stampa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della Santa Sede 17.12.2019, B1011.</w:t>
      </w:r>
      <w:hyperlink r:id="rId6" w:tgtFrame="_blank" w:history="1">
        <w:r w:rsidRPr="002962AD">
          <w:rPr>
            <w:rFonts w:eastAsia="Times New Roman" w:cstheme="minorHAnsi"/>
            <w:color w:val="0000FF"/>
            <w:sz w:val="22"/>
            <w:szCs w:val="22"/>
            <w:u w:val="single"/>
            <w:lang w:val="es-ES" w:eastAsia="pl-PL"/>
          </w:rPr>
          <w:t>https://press.vatican.va/content/salastampa/it/bollettino/pubblico/2019/12/17/1011/02062.html</w:t>
        </w:r>
      </w:hyperlink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 ;</w:t>
      </w:r>
    </w:p>
    <w:p w:rsidR="002962AD" w:rsidRPr="002962AD" w:rsidRDefault="002962AD" w:rsidP="002962AD">
      <w:pPr>
        <w:pStyle w:val="Akapitzlist"/>
        <w:rPr>
          <w:rFonts w:eastAsia="Times New Roman" w:cstheme="minorHAnsi"/>
          <w:color w:val="000000"/>
          <w:sz w:val="22"/>
          <w:szCs w:val="22"/>
          <w:lang w:val="es-ES" w:eastAsia="pl-PL"/>
        </w:rPr>
      </w:pPr>
    </w:p>
    <w:p w:rsidR="002962AD" w:rsidRPr="002962AD" w:rsidRDefault="002962AD" w:rsidP="002962A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2"/>
          <w:szCs w:val="22"/>
          <w:lang w:val="es-ES" w:eastAsia="pl-PL"/>
        </w:rPr>
      </w:pPr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RESCRIPTUM EX AUDIENTIA SS.MI: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Rescritto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del Santo Padre Francesco con cui si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introducono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alcune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modifiche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alle “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Normae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de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gravioribus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 xml:space="preserve"> </w:t>
      </w:r>
      <w:proofErr w:type="spellStart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delictis</w:t>
      </w:r>
      <w:proofErr w:type="spellEnd"/>
      <w:r w:rsidRPr="002962AD">
        <w:rPr>
          <w:rFonts w:eastAsia="Times New Roman" w:cstheme="minorHAnsi"/>
          <w:color w:val="000000"/>
          <w:sz w:val="22"/>
          <w:szCs w:val="22"/>
          <w:lang w:val="es-ES" w:eastAsia="pl-PL"/>
        </w:rPr>
        <w:t>”, 17.12.2019;</w:t>
      </w:r>
    </w:p>
    <w:p w:rsidR="002962AD" w:rsidRPr="002962AD" w:rsidRDefault="002962AD" w:rsidP="002962AD">
      <w:pPr>
        <w:pStyle w:val="Akapitzlist"/>
        <w:rPr>
          <w:rFonts w:eastAsia="Times New Roman" w:cstheme="minorHAnsi"/>
          <w:color w:val="000000"/>
          <w:sz w:val="22"/>
          <w:szCs w:val="22"/>
          <w:lang w:val="es-ES" w:eastAsia="pl-PL"/>
        </w:rPr>
      </w:pPr>
    </w:p>
    <w:p w:rsidR="002962AD" w:rsidRPr="002962AD" w:rsidRDefault="002962AD" w:rsidP="002962A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962AD">
        <w:rPr>
          <w:rFonts w:asciiTheme="minorHAnsi" w:hAnsiTheme="minorHAnsi" w:cstheme="minorHAnsi"/>
          <w:color w:val="000000"/>
          <w:sz w:val="22"/>
          <w:szCs w:val="22"/>
        </w:rPr>
        <w:t>Kongregacja Nauki Wiary, Vademecum dotyczące wybranych kwestii proceduralnych w zakresie postępowania w przypadkach nadużyć seksualnych popełnianych przez duchownych wobec małoletnich, wersja 1.0, 16.07.2020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2962AD" w:rsidRPr="002962AD" w:rsidRDefault="002962AD" w:rsidP="002962AD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2962AD" w:rsidRDefault="002962AD" w:rsidP="002962AD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2962AD" w:rsidRPr="002962AD" w:rsidRDefault="002962AD" w:rsidP="002962AD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962AD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962AD">
        <w:rPr>
          <w:rFonts w:asciiTheme="minorHAnsi" w:hAnsiTheme="minorHAnsi" w:cstheme="minorHAnsi"/>
          <w:color w:val="000000"/>
          <w:sz w:val="22"/>
          <w:szCs w:val="22"/>
        </w:rPr>
        <w:t xml:space="preserve">statni dokument i inne w języku polskim dostępne w: Odpowiedź Kościoła aspekt na dramat wykorzystania seksualnego nieletnich. Aspekt prawny, </w:t>
      </w:r>
      <w:proofErr w:type="spellStart"/>
      <w:r w:rsidRPr="002962AD">
        <w:rPr>
          <w:rFonts w:asciiTheme="minorHAnsi" w:hAnsiTheme="minorHAnsi" w:cstheme="minorHAnsi"/>
          <w:color w:val="000000"/>
          <w:sz w:val="22"/>
          <w:szCs w:val="22"/>
        </w:rPr>
        <w:t>Apostolicum</w:t>
      </w:r>
      <w:proofErr w:type="spellEnd"/>
      <w:r w:rsidRPr="002962AD">
        <w:rPr>
          <w:rFonts w:asciiTheme="minorHAnsi" w:hAnsiTheme="minorHAnsi" w:cstheme="minorHAnsi"/>
          <w:color w:val="000000"/>
          <w:sz w:val="22"/>
          <w:szCs w:val="22"/>
        </w:rPr>
        <w:t>, Ząbki 2020.</w:t>
      </w:r>
    </w:p>
    <w:p w:rsidR="002962AD" w:rsidRPr="002962AD" w:rsidRDefault="002962AD" w:rsidP="002962AD">
      <w:pPr>
        <w:pStyle w:val="Akapitzlist"/>
        <w:jc w:val="both"/>
        <w:rPr>
          <w:rFonts w:eastAsia="Times New Roman" w:cstheme="minorHAnsi"/>
          <w:color w:val="000000"/>
          <w:sz w:val="22"/>
          <w:szCs w:val="22"/>
          <w:lang w:val="es-ES" w:eastAsia="pl-PL"/>
        </w:rPr>
      </w:pPr>
    </w:p>
    <w:p w:rsidR="00394AD1" w:rsidRPr="002962AD" w:rsidRDefault="002962AD" w:rsidP="002962AD">
      <w:pPr>
        <w:rPr>
          <w:rFonts w:cstheme="minorHAnsi"/>
          <w:sz w:val="22"/>
          <w:szCs w:val="22"/>
        </w:rPr>
      </w:pPr>
    </w:p>
    <w:sectPr w:rsidR="00394AD1" w:rsidRPr="002962AD" w:rsidSect="00C068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45A5C"/>
    <w:multiLevelType w:val="hybridMultilevel"/>
    <w:tmpl w:val="6B04E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D"/>
    <w:rsid w:val="000E6BC9"/>
    <w:rsid w:val="002962AD"/>
    <w:rsid w:val="00C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9AB7F"/>
  <w15:chartTrackingRefBased/>
  <w15:docId w15:val="{84704766-51EE-EF4F-AE53-27208E4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962AD"/>
  </w:style>
  <w:style w:type="character" w:styleId="Hipercze">
    <w:name w:val="Hyperlink"/>
    <w:basedOn w:val="Domylnaczcionkaakapitu"/>
    <w:uiPriority w:val="99"/>
    <w:semiHidden/>
    <w:unhideWhenUsed/>
    <w:rsid w:val="002962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62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62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vatican.va/content/salastampa/it/bollettino/pubblico/2019/12/17/1011/02062.html" TargetMode="External"/><Relationship Id="rId5" Type="http://schemas.openxmlformats.org/officeDocument/2006/relationships/hyperlink" Target="http://www.vatican.va/content/francesco/pl/motu_proprio/documents/papa-francesco-motu-proprio-20190507_vos-estis-lux-mund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Markowska</dc:creator>
  <cp:keywords/>
  <dc:description/>
  <cp:lastModifiedBy>Julia Markowska</cp:lastModifiedBy>
  <cp:revision>1</cp:revision>
  <dcterms:created xsi:type="dcterms:W3CDTF">2020-11-26T21:10:00Z</dcterms:created>
  <dcterms:modified xsi:type="dcterms:W3CDTF">2020-11-26T21:17:00Z</dcterms:modified>
</cp:coreProperties>
</file>