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FE" w:rsidRPr="001B7137" w:rsidRDefault="001568BD" w:rsidP="001B7137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1B7137">
        <w:rPr>
          <w:rFonts w:asciiTheme="minorHAnsi" w:hAnsiTheme="minorHAnsi"/>
          <w:sz w:val="20"/>
          <w:szCs w:val="20"/>
        </w:rPr>
        <w:t>Zał</w:t>
      </w:r>
      <w:r w:rsidR="006B4CC6">
        <w:rPr>
          <w:rFonts w:asciiTheme="minorHAnsi" w:hAnsiTheme="minorHAnsi"/>
          <w:sz w:val="20"/>
          <w:szCs w:val="20"/>
        </w:rPr>
        <w:t>ącznik</w:t>
      </w:r>
      <w:r w:rsidRPr="001B7137">
        <w:rPr>
          <w:rFonts w:asciiTheme="minorHAnsi" w:hAnsiTheme="minorHAnsi"/>
          <w:sz w:val="20"/>
          <w:szCs w:val="20"/>
        </w:rPr>
        <w:t xml:space="preserve"> do </w:t>
      </w:r>
      <w:r w:rsidR="00CD4780">
        <w:rPr>
          <w:rFonts w:asciiTheme="minorHAnsi" w:hAnsiTheme="minorHAnsi"/>
          <w:sz w:val="20"/>
          <w:szCs w:val="20"/>
        </w:rPr>
        <w:t>U</w:t>
      </w:r>
      <w:r w:rsidRPr="001B7137">
        <w:rPr>
          <w:rFonts w:asciiTheme="minorHAnsi" w:hAnsiTheme="minorHAnsi"/>
          <w:sz w:val="20"/>
          <w:szCs w:val="20"/>
        </w:rPr>
        <w:t>chwały nr</w:t>
      </w:r>
      <w:r w:rsidR="006B4CC6">
        <w:rPr>
          <w:rFonts w:asciiTheme="minorHAnsi" w:hAnsiTheme="minorHAnsi"/>
          <w:sz w:val="20"/>
          <w:szCs w:val="20"/>
        </w:rPr>
        <w:t xml:space="preserve"> 183</w:t>
      </w:r>
    </w:p>
    <w:p w:rsidR="001568BD" w:rsidRPr="001B7137" w:rsidRDefault="001568BD" w:rsidP="001B7137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1B7137">
        <w:rPr>
          <w:rFonts w:asciiTheme="minorHAnsi" w:hAnsiTheme="minorHAnsi"/>
          <w:sz w:val="20"/>
          <w:szCs w:val="20"/>
        </w:rPr>
        <w:t>Rady Wydziału Teologii UWM w Olsztynie</w:t>
      </w:r>
    </w:p>
    <w:p w:rsidR="001568BD" w:rsidRPr="001B7137" w:rsidRDefault="001568BD" w:rsidP="001B7137">
      <w:pPr>
        <w:spacing w:after="0"/>
        <w:jc w:val="right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 w:val="20"/>
          <w:szCs w:val="20"/>
        </w:rPr>
        <w:t xml:space="preserve">z dnia </w:t>
      </w:r>
      <w:r w:rsidR="009C4B17">
        <w:rPr>
          <w:rFonts w:asciiTheme="minorHAnsi" w:hAnsiTheme="minorHAnsi"/>
          <w:sz w:val="20"/>
          <w:szCs w:val="20"/>
        </w:rPr>
        <w:t>22 lutego 2018 r.</w:t>
      </w:r>
      <w:bookmarkStart w:id="0" w:name="_GoBack"/>
      <w:bookmarkEnd w:id="0"/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</w:p>
    <w:p w:rsidR="001B7137" w:rsidRDefault="001B7137" w:rsidP="001B7137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1568BD" w:rsidRPr="001B7137" w:rsidRDefault="001568BD" w:rsidP="001B7137">
      <w:pPr>
        <w:spacing w:after="0"/>
        <w:jc w:val="center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Zagadnienia egzaminacyjne dla kandydatów na stacjonarne studia doktoranckie w dziedzinie nauk teologicznych (dyscyplina naukowa: teologia)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</w:p>
    <w:p w:rsidR="001568BD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</w:t>
      </w:r>
      <w:r w:rsidR="001568BD" w:rsidRPr="001B7137">
        <w:rPr>
          <w:rFonts w:asciiTheme="minorHAnsi" w:hAnsiTheme="minorHAnsi"/>
          <w:b/>
          <w:szCs w:val="24"/>
        </w:rPr>
        <w:t xml:space="preserve"> zakresu teologii dogmatycznej:</w:t>
      </w:r>
    </w:p>
    <w:p w:rsidR="001B7137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Stworzenie człowieka a teoria ewolucji (</w:t>
      </w:r>
      <w:proofErr w:type="spellStart"/>
      <w:r w:rsidRPr="001B7137">
        <w:rPr>
          <w:rFonts w:asciiTheme="minorHAnsi" w:hAnsiTheme="minorHAnsi"/>
          <w:szCs w:val="24"/>
        </w:rPr>
        <w:t>protologia</w:t>
      </w:r>
      <w:proofErr w:type="spellEnd"/>
      <w:r w:rsidRPr="001B7137">
        <w:rPr>
          <w:rFonts w:asciiTheme="minorHAnsi" w:hAnsiTheme="minorHAnsi"/>
          <w:szCs w:val="24"/>
        </w:rPr>
        <w:t>)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Ojciec Jezusa Chrystusa – chrześcijański obraz Boga (</w:t>
      </w:r>
      <w:proofErr w:type="spellStart"/>
      <w:r w:rsidRPr="001B7137">
        <w:rPr>
          <w:rFonts w:asciiTheme="minorHAnsi" w:hAnsiTheme="minorHAnsi"/>
          <w:szCs w:val="24"/>
        </w:rPr>
        <w:t>trynitologia</w:t>
      </w:r>
      <w:proofErr w:type="spellEnd"/>
      <w:r w:rsidRPr="001B7137">
        <w:rPr>
          <w:rFonts w:asciiTheme="minorHAnsi" w:hAnsiTheme="minorHAnsi"/>
          <w:szCs w:val="24"/>
        </w:rPr>
        <w:t>)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 xml:space="preserve">3. Sobór </w:t>
      </w:r>
      <w:proofErr w:type="spellStart"/>
      <w:r w:rsidRPr="001B7137">
        <w:rPr>
          <w:rFonts w:asciiTheme="minorHAnsi" w:hAnsiTheme="minorHAnsi"/>
          <w:szCs w:val="24"/>
        </w:rPr>
        <w:t>Chalcedoński</w:t>
      </w:r>
      <w:proofErr w:type="spellEnd"/>
      <w:r w:rsidRPr="001B7137">
        <w:rPr>
          <w:rFonts w:asciiTheme="minorHAnsi" w:hAnsiTheme="minorHAnsi"/>
          <w:szCs w:val="24"/>
        </w:rPr>
        <w:t xml:space="preserve"> i jego znaczenie (chrystologia)</w:t>
      </w:r>
    </w:p>
    <w:p w:rsidR="001568BD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Kościół: Lud Boży,</w:t>
      </w:r>
      <w:r w:rsidR="001568BD" w:rsidRPr="001B7137">
        <w:rPr>
          <w:rFonts w:asciiTheme="minorHAnsi" w:hAnsiTheme="minorHAnsi"/>
          <w:szCs w:val="24"/>
        </w:rPr>
        <w:t xml:space="preserve"> Ciało Chrystusa</w:t>
      </w:r>
      <w:r w:rsidRPr="001B7137">
        <w:rPr>
          <w:rFonts w:asciiTheme="minorHAnsi" w:hAnsiTheme="minorHAnsi"/>
          <w:szCs w:val="24"/>
        </w:rPr>
        <w:t>,</w:t>
      </w:r>
      <w:r w:rsidR="001568BD" w:rsidRPr="001B7137">
        <w:rPr>
          <w:rFonts w:asciiTheme="minorHAnsi" w:hAnsiTheme="minorHAnsi"/>
          <w:szCs w:val="24"/>
        </w:rPr>
        <w:t xml:space="preserve"> Świątynia Ducha Świętego (eklezjologia)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Nauka Soboru Trydenckiego o Eucharystii na tle Reformacji (</w:t>
      </w:r>
      <w:proofErr w:type="spellStart"/>
      <w:r w:rsidRPr="001B7137">
        <w:rPr>
          <w:rFonts w:asciiTheme="minorHAnsi" w:hAnsiTheme="minorHAnsi"/>
          <w:szCs w:val="24"/>
        </w:rPr>
        <w:t>sakramentologia</w:t>
      </w:r>
      <w:proofErr w:type="spellEnd"/>
      <w:r w:rsidRPr="001B7137">
        <w:rPr>
          <w:rFonts w:asciiTheme="minorHAnsi" w:hAnsiTheme="minorHAnsi"/>
          <w:szCs w:val="24"/>
        </w:rPr>
        <w:t>)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</w:p>
    <w:p w:rsidR="001568BD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</w:t>
      </w:r>
      <w:r w:rsidR="001568BD" w:rsidRPr="001B7137">
        <w:rPr>
          <w:rFonts w:asciiTheme="minorHAnsi" w:hAnsiTheme="minorHAnsi"/>
          <w:b/>
          <w:szCs w:val="24"/>
        </w:rPr>
        <w:t xml:space="preserve"> zakresu teologii moralnej:</w:t>
      </w:r>
    </w:p>
    <w:p w:rsidR="001B7137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Źródła teologii moralnej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Encyklika Jana Pawła II „</w:t>
      </w:r>
      <w:proofErr w:type="spellStart"/>
      <w:r w:rsidRPr="001B7137">
        <w:rPr>
          <w:rFonts w:asciiTheme="minorHAnsi" w:hAnsiTheme="minorHAnsi"/>
          <w:szCs w:val="24"/>
        </w:rPr>
        <w:t>veritatis</w:t>
      </w:r>
      <w:proofErr w:type="spellEnd"/>
      <w:r w:rsidRPr="001B7137">
        <w:rPr>
          <w:rFonts w:asciiTheme="minorHAnsi" w:hAnsiTheme="minorHAnsi"/>
          <w:szCs w:val="24"/>
        </w:rPr>
        <w:t xml:space="preserve"> Splendor” o sumieniu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Klasyfikacja grzechów w kontekście nauki o opcji podstawowej w świetle „</w:t>
      </w:r>
      <w:proofErr w:type="spellStart"/>
      <w:r w:rsidRPr="001B7137">
        <w:rPr>
          <w:rFonts w:asciiTheme="minorHAnsi" w:hAnsiTheme="minorHAnsi"/>
          <w:szCs w:val="24"/>
        </w:rPr>
        <w:t>Reconciliatio</w:t>
      </w:r>
      <w:proofErr w:type="spellEnd"/>
      <w:r w:rsidRPr="001B7137">
        <w:rPr>
          <w:rFonts w:asciiTheme="minorHAnsi" w:hAnsiTheme="minorHAnsi"/>
          <w:szCs w:val="24"/>
        </w:rPr>
        <w:t xml:space="preserve"> et </w:t>
      </w:r>
      <w:r w:rsidR="001B7137">
        <w:rPr>
          <w:rFonts w:asciiTheme="minorHAnsi" w:hAnsiTheme="minorHAnsi"/>
          <w:szCs w:val="24"/>
        </w:rPr>
        <w:t xml:space="preserve">           </w:t>
      </w:r>
      <w:proofErr w:type="spellStart"/>
      <w:r w:rsidRPr="001B7137">
        <w:rPr>
          <w:rFonts w:asciiTheme="minorHAnsi" w:hAnsiTheme="minorHAnsi"/>
          <w:szCs w:val="24"/>
        </w:rPr>
        <w:t>paenitentia</w:t>
      </w:r>
      <w:proofErr w:type="spellEnd"/>
      <w:r w:rsidRPr="001B7137">
        <w:rPr>
          <w:rFonts w:asciiTheme="minorHAnsi" w:hAnsiTheme="minorHAnsi"/>
          <w:szCs w:val="24"/>
        </w:rPr>
        <w:t>”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Jan Paweł II o eutanazji i terapii uporczywej</w:t>
      </w:r>
    </w:p>
    <w:p w:rsidR="001568BD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Uzasadnienie działalności charytatywnej Kościoła w encyklice Benedykta XVI „Deus Caritas Est”</w:t>
      </w:r>
    </w:p>
    <w:p w:rsidR="00BA225B" w:rsidRPr="001B7137" w:rsidRDefault="001568BD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 xml:space="preserve">6. </w:t>
      </w:r>
      <w:r w:rsidR="00BA225B" w:rsidRPr="001B7137">
        <w:rPr>
          <w:rFonts w:asciiTheme="minorHAnsi" w:hAnsiTheme="minorHAnsi"/>
          <w:szCs w:val="24"/>
        </w:rPr>
        <w:t>Integralność stworzenia w dokumentach papieża Franciszka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</w:t>
      </w:r>
      <w:r w:rsidR="00BA225B" w:rsidRPr="001B7137">
        <w:rPr>
          <w:rFonts w:asciiTheme="minorHAnsi" w:hAnsiTheme="minorHAnsi"/>
          <w:b/>
          <w:szCs w:val="24"/>
        </w:rPr>
        <w:t xml:space="preserve"> zakresu teologii fundamentalnej:</w:t>
      </w: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 xml:space="preserve">1. Objawienie Boże w świetle Konstytucji </w:t>
      </w:r>
      <w:r w:rsidR="001B7137">
        <w:rPr>
          <w:rFonts w:asciiTheme="minorHAnsi" w:hAnsiTheme="minorHAnsi"/>
          <w:szCs w:val="24"/>
        </w:rPr>
        <w:t>„</w:t>
      </w:r>
      <w:r w:rsidRPr="001B7137">
        <w:rPr>
          <w:rFonts w:asciiTheme="minorHAnsi" w:hAnsiTheme="minorHAnsi"/>
          <w:szCs w:val="24"/>
        </w:rPr>
        <w:t>Dei Verbum</w:t>
      </w:r>
      <w:r w:rsidR="001B7137">
        <w:rPr>
          <w:rFonts w:asciiTheme="minorHAnsi" w:hAnsiTheme="minorHAnsi"/>
          <w:szCs w:val="24"/>
        </w:rPr>
        <w:t>”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Chrystologia Jezusa – Jezus w świetle swoich słów i czynów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Zmartwychwstanie Jezusa jako podstawowy argument wiary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Geneza Kościoła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1568BD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</w:t>
      </w:r>
      <w:r w:rsidR="00BA225B" w:rsidRPr="001B7137">
        <w:rPr>
          <w:rFonts w:asciiTheme="minorHAnsi" w:hAnsiTheme="minorHAnsi"/>
          <w:b/>
          <w:szCs w:val="24"/>
        </w:rPr>
        <w:t xml:space="preserve"> zakresu teologii pastoralnej: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Podstawowe funkcje Kościoła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Rola dialogu w życiu Kościoła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Stosunek Kościoła do świata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Laikat i formy apostolstwa świeckich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Struktury duszpasterskie (diecezja, parafia)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</w:t>
      </w:r>
      <w:r w:rsidR="00BA225B" w:rsidRPr="001B7137">
        <w:rPr>
          <w:rFonts w:asciiTheme="minorHAnsi" w:hAnsiTheme="minorHAnsi"/>
          <w:b/>
          <w:szCs w:val="24"/>
        </w:rPr>
        <w:t xml:space="preserve"> zakresu teologii duchowości</w:t>
      </w:r>
      <w:r>
        <w:rPr>
          <w:rFonts w:asciiTheme="minorHAnsi" w:hAnsiTheme="minorHAnsi"/>
          <w:b/>
          <w:szCs w:val="24"/>
        </w:rPr>
        <w:t>: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Pojęcie chrześcijańskiego życia duchowego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Ideał chrześcijańskiej świętości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Najbardziej popularne w historii duchowości ujęcia duchowej drogi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lastRenderedPageBreak/>
        <w:t>4. Podstawy i specyfika chrześcijańskiej ascezy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Natura i rodzaje modlitwy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</w:t>
      </w:r>
      <w:r w:rsidR="00BA225B" w:rsidRPr="001B7137">
        <w:rPr>
          <w:rFonts w:asciiTheme="minorHAnsi" w:hAnsiTheme="minorHAnsi"/>
          <w:b/>
          <w:szCs w:val="24"/>
        </w:rPr>
        <w:t xml:space="preserve"> zakresu teologii biblijnej Starego Testamentu</w:t>
      </w:r>
      <w:r w:rsidRPr="001B7137">
        <w:rPr>
          <w:rFonts w:asciiTheme="minorHAnsi" w:hAnsiTheme="minorHAnsi"/>
          <w:b/>
          <w:szCs w:val="24"/>
        </w:rPr>
        <w:t>: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Dzieje kanonu ST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Dekalog w Pięcioksięgu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Najważniejsze teksty mesjańskie ST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Teksty ST o miłości małżeńskiej (np. Rdz i Tb)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Teologia przymierza w ST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 zakresu teologii biblijnej Nowego Testamentu</w:t>
      </w:r>
      <w:r w:rsidR="001B7137" w:rsidRPr="001B7137">
        <w:rPr>
          <w:rFonts w:asciiTheme="minorHAnsi" w:hAnsiTheme="minorHAnsi"/>
          <w:b/>
          <w:szCs w:val="24"/>
        </w:rPr>
        <w:t>:</w:t>
      </w: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Co samo Pismo święte mówi o swoim pochodzeniu od Boga i o natchnieniu?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Sens decyzji tzw. soboru jerozolimskiego (</w:t>
      </w:r>
      <w:proofErr w:type="spellStart"/>
      <w:r w:rsidRPr="001B7137">
        <w:rPr>
          <w:rFonts w:asciiTheme="minorHAnsi" w:hAnsiTheme="minorHAnsi"/>
          <w:szCs w:val="24"/>
        </w:rPr>
        <w:t>Dz</w:t>
      </w:r>
      <w:proofErr w:type="spellEnd"/>
      <w:r w:rsidRPr="001B7137">
        <w:rPr>
          <w:rFonts w:asciiTheme="minorHAnsi" w:hAnsiTheme="minorHAnsi"/>
          <w:szCs w:val="24"/>
        </w:rPr>
        <w:t xml:space="preserve"> 15) i ich znaczenie dla rozwoju chrześcijaństwa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Mowa św. Pawła na Areopagu (</w:t>
      </w:r>
      <w:proofErr w:type="spellStart"/>
      <w:r w:rsidRPr="001B7137">
        <w:rPr>
          <w:rFonts w:asciiTheme="minorHAnsi" w:hAnsiTheme="minorHAnsi"/>
          <w:szCs w:val="24"/>
        </w:rPr>
        <w:t>Dz</w:t>
      </w:r>
      <w:proofErr w:type="spellEnd"/>
      <w:r w:rsidRPr="001B7137">
        <w:rPr>
          <w:rFonts w:asciiTheme="minorHAnsi" w:hAnsiTheme="minorHAnsi"/>
          <w:szCs w:val="24"/>
        </w:rPr>
        <w:t xml:space="preserve"> 17) pod kątem jej nawiązań do kultury greckiej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Problem wiary i uczynków w Listach do Rzymian i św. Jakuba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Tysiącletnie królestwo i nowa Jerozolima jako obrazy czasów ostatecznych w Apokalipsie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</w:t>
      </w:r>
      <w:r w:rsidR="00BA225B" w:rsidRPr="001B7137">
        <w:rPr>
          <w:rFonts w:asciiTheme="minorHAnsi" w:hAnsiTheme="minorHAnsi"/>
          <w:b/>
          <w:szCs w:val="24"/>
        </w:rPr>
        <w:t xml:space="preserve"> zakresu katechetyki: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Cele, zadania i funkcje katechezy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Dokumenty katechetyczne Kościoła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Duszpasterstwo katechetyczne dzieci i młodzieży w parafii; katecheza dorosłych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Kontrola o ocena pracy ucznia na lekcjach religii</w:t>
      </w:r>
    </w:p>
    <w:p w:rsidR="00BA225B" w:rsidRPr="001B7137" w:rsidRDefault="00BA225B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Zastosowanie środków informatycznych w edukacji religijnej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1B7137" w:rsidRPr="001B7137" w:rsidRDefault="001B7137" w:rsidP="001B7137">
      <w:pPr>
        <w:spacing w:after="0"/>
        <w:rPr>
          <w:rFonts w:asciiTheme="minorHAnsi" w:hAnsiTheme="minorHAnsi"/>
          <w:b/>
          <w:szCs w:val="24"/>
        </w:rPr>
      </w:pPr>
      <w:r w:rsidRPr="001B7137">
        <w:rPr>
          <w:rFonts w:asciiTheme="minorHAnsi" w:hAnsiTheme="minorHAnsi"/>
          <w:b/>
          <w:szCs w:val="24"/>
        </w:rPr>
        <w:t>Z zakresu liturgiki:</w:t>
      </w:r>
    </w:p>
    <w:p w:rsidR="001B7137" w:rsidRDefault="001B7137" w:rsidP="001B7137">
      <w:pPr>
        <w:spacing w:after="0"/>
        <w:rPr>
          <w:rFonts w:asciiTheme="minorHAnsi" w:hAnsiTheme="minorHAnsi"/>
          <w:szCs w:val="24"/>
        </w:rPr>
      </w:pP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1. Znaczenie i rozwój terminu: liturgia</w:t>
      </w: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2. Celebracja misterium liturgii</w:t>
      </w: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3. Wewnętrzny związek między teologią i liturgią</w:t>
      </w: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4. Teologia i struktura Mszy świętej</w:t>
      </w:r>
    </w:p>
    <w:p w:rsidR="001B7137" w:rsidRPr="001B7137" w:rsidRDefault="001B7137" w:rsidP="001B7137">
      <w:pPr>
        <w:spacing w:after="0"/>
        <w:rPr>
          <w:rFonts w:asciiTheme="minorHAnsi" w:hAnsiTheme="minorHAnsi"/>
          <w:szCs w:val="24"/>
        </w:rPr>
      </w:pPr>
      <w:r w:rsidRPr="001B7137">
        <w:rPr>
          <w:rFonts w:asciiTheme="minorHAnsi" w:hAnsiTheme="minorHAnsi"/>
          <w:szCs w:val="24"/>
        </w:rPr>
        <w:t>5. Liturgia i pobożność ludowa</w:t>
      </w:r>
    </w:p>
    <w:sectPr w:rsidR="001B7137" w:rsidRPr="001B7137" w:rsidSect="00E3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8BD"/>
    <w:rsid w:val="001568BD"/>
    <w:rsid w:val="001B7137"/>
    <w:rsid w:val="00491F0C"/>
    <w:rsid w:val="006B4CC6"/>
    <w:rsid w:val="00917CFE"/>
    <w:rsid w:val="009C4B17"/>
    <w:rsid w:val="00BA225B"/>
    <w:rsid w:val="00CD4780"/>
    <w:rsid w:val="00D239B0"/>
    <w:rsid w:val="00DD5516"/>
    <w:rsid w:val="00E3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link w:val="cytatyZnak"/>
    <w:qFormat/>
    <w:rsid w:val="00D239B0"/>
    <w:pPr>
      <w:spacing w:before="120" w:after="120"/>
      <w:ind w:left="284" w:right="284" w:firstLine="567"/>
      <w:jc w:val="both"/>
    </w:pPr>
    <w:rPr>
      <w:sz w:val="22"/>
      <w:lang w:val="en-US"/>
    </w:rPr>
  </w:style>
  <w:style w:type="character" w:customStyle="1" w:styleId="cytatyZnak">
    <w:name w:val="cytaty Znak"/>
    <w:basedOn w:val="Domylnaczcionkaakapitu"/>
    <w:link w:val="cytaty"/>
    <w:rsid w:val="00D239B0"/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Pawlik</dc:creator>
  <cp:lastModifiedBy>magda.bialach</cp:lastModifiedBy>
  <cp:revision>5</cp:revision>
  <dcterms:created xsi:type="dcterms:W3CDTF">2018-02-23T11:41:00Z</dcterms:created>
  <dcterms:modified xsi:type="dcterms:W3CDTF">2018-02-26T11:38:00Z</dcterms:modified>
</cp:coreProperties>
</file>