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DFED" w14:textId="77777777" w:rsidR="003C43EF" w:rsidRPr="003C43EF" w:rsidRDefault="003C43EF" w:rsidP="003C4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UCHWAŁA Nr 11</w:t>
      </w:r>
    </w:p>
    <w:p w14:paraId="0C3073BF" w14:textId="77777777" w:rsidR="003C43EF" w:rsidRPr="003C43EF" w:rsidRDefault="003C43EF" w:rsidP="003C4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>Senatu Uniwersytetu Warmińsko-Mazurskiego w Olsztynie</w:t>
      </w:r>
    </w:p>
    <w:p w14:paraId="39D52866" w14:textId="77777777" w:rsidR="003C43EF" w:rsidRPr="003C43EF" w:rsidRDefault="003C43EF" w:rsidP="003C4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z dnia 27 października 2020 roku</w:t>
      </w:r>
    </w:p>
    <w:p w14:paraId="417BABDE" w14:textId="46166F68" w:rsidR="003C43EF" w:rsidRPr="003C43EF" w:rsidRDefault="003C43EF" w:rsidP="003C4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D432F" w14:textId="52E463FD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zmieniająca Uchwałę Nr 559 Senatu Uniwersytetu Warmińsko-Mazurskiego w Olsztynie z dnia 20 września 2019 roku w sprawie ustalenia programu studiów kierunku filologia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3C43E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dla poziomu studiów pierwszego stopnia - licencjackich o profilu </w:t>
      </w:r>
      <w:proofErr w:type="spellStart"/>
      <w:r w:rsidRPr="003C43E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ogólnoakademickim</w:t>
      </w:r>
      <w:proofErr w:type="spellEnd"/>
    </w:p>
    <w:p w14:paraId="20872C41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14:paraId="7CB98CB5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Na podstawie art. 28 ust. 1 pkt 11, art. 67 ust. 1 ustawy z dnia 20 lipca 2018 roku – Prawo o szkolnictwie wyższym i nauce (</w:t>
      </w:r>
      <w:proofErr w:type="spellStart"/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z 2020 r., poz. 85 ze zm.), § 7 ust. 5 pkt 2 lit. a Rozporządzenia Ministra Nauki i Szkolnictwa Wyższego z dnia 27 września 2018 roku (Dz. U. z 2018 r., poz. 1861 ze zm.),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na wniosek Dziekana Wydziału Humanistycznego, pozytywnie zaopiniowany przez Radę Edukacyjną, Senat Uniwersytetu Warmińsko-Mazurskiego w Olsztynie uchwala, co następuje: </w:t>
      </w:r>
    </w:p>
    <w:p w14:paraId="7557E673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14:paraId="4830BCCB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§ 1</w:t>
      </w:r>
    </w:p>
    <w:p w14:paraId="10C78AB2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W Uchwale Nr 559 Senatu Uniwersytetu Warmińsko-Mazurskiego w Olsztynie z dnia 20 września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2019 roku w sprawie w sprawie ustalenia programu studiów kierunku filologia dla poziomu studiów pierwszego stopnia - licencjackich o profilu </w:t>
      </w:r>
      <w:proofErr w:type="spellStart"/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ogólnoakademickim</w:t>
      </w:r>
      <w:proofErr w:type="spellEnd"/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Pr="003C43EF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wprowadza się następujące zmiany:</w:t>
      </w:r>
    </w:p>
    <w:p w14:paraId="52208510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Verdana" w:hAnsi="Verdana" w:cs="Verdana"/>
          <w:sz w:val="20"/>
          <w:szCs w:val="20"/>
          <w:lang w:eastAsia="pl-PL"/>
        </w:rPr>
        <w:t>   a)</w:t>
      </w:r>
      <w:r w:rsidRPr="003C43EF">
        <w:rPr>
          <w:rFonts w:ascii="Times New Roman" w:eastAsia="Verdana" w:hAnsi="Times New Roman" w:cs="Times New Roman"/>
          <w:sz w:val="14"/>
          <w:szCs w:val="14"/>
          <w:lang w:eastAsia="pl-PL"/>
        </w:rPr>
        <w:t xml:space="preserve"> 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w Załączniku 2 do Uchwały zmienia się opis treści kształcenia przedmiotu: I.9. Przedmiot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       ogólnouczelniany, który otrzymuje brzmienie: ”I.9. Przedmiot ogólnouczelniany.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3C43E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       Cel kształcenia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: wprowadzenie poszerzonej wiedzy, terminologii i różnych koncepcji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       badawczych dotyczących omawianego tematu. </w:t>
      </w:r>
      <w:r w:rsidRPr="003C43E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Treści merytoryczne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monograficzne,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   całościowe ujęcie wybranego zagadnienia z niżej proponowanych: animacja kultury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   studenckiej, człowiek współczesny wobec problemu uzależnień, dietetyka i żywienie człowieka,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   ekonomia, prawo, prawo przedsiębiorców,  socjologia, zdrowy styl życia i higiena człowieka.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3C43E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       Efekty uczenia się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3C43E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Wiedza (zna i rozumie)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: pojęcia, terminy i podstawowe założenia badawcze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       z omawianego zakresu wiedzy. </w:t>
      </w:r>
      <w:r w:rsidRPr="003C43E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Umiejętności (potrafi)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: wykorzystać poznaną wiedzę w różnych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       sytuacjach zawodowych. </w:t>
      </w:r>
      <w:r w:rsidRPr="003C43E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Kompetencje społeczne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C43E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(jest gotów do)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3C43E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korzystania w życiu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   zawodowym i społecznym z różnych obszarów wiedzy. </w:t>
      </w:r>
      <w:r w:rsidRPr="003C43E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Forma prowadzenia zajęć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: wykład.”,</w:t>
      </w:r>
    </w:p>
    <w:p w14:paraId="449D8BB5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Verdana" w:hAnsi="Verdana" w:cs="Verdana"/>
          <w:sz w:val="20"/>
          <w:szCs w:val="20"/>
          <w:lang w:eastAsia="pl-PL"/>
        </w:rPr>
        <w:t>   b)</w:t>
      </w:r>
      <w:r w:rsidRPr="003C43EF">
        <w:rPr>
          <w:rFonts w:ascii="Times New Roman" w:eastAsia="Verdana" w:hAnsi="Times New Roman" w:cs="Times New Roman"/>
          <w:sz w:val="14"/>
          <w:szCs w:val="14"/>
          <w:lang w:eastAsia="pl-PL"/>
        </w:rPr>
        <w:t xml:space="preserve"> 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w Załącznikach 3a, 4a i 5 do Uchwały, w Wykazie grup przedmiotów 1 – Przedmiot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   ogólnouczelniany, 2 – Przedmiot ogólnouczelniany, 3 – Przedmiot ogólnouczelniany: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   a)</w:t>
      </w:r>
      <w:r w:rsidRPr="003C43E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usuwa się przedmioty: akwarystyka, antropologia kulturowa, ciało człowieka – fascynujący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       system, dziedzictwo kulturowe, energie odnawialne, estetyka, etyka, ewolucjonizm, kultura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       kresów północno-wschodnich i jej kontynuacja, logika, ochrona przyrody, pierwsza pomoc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       przedmedyczna, pogoda, klimat i człowiek, praktyczna filozofia przyrody, wiedza o teatrze,</w:t>
      </w:r>
    </w:p>
    <w:p w14:paraId="6B0570DF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Verdana" w:hAnsi="Verdana" w:cs="Verdana"/>
          <w:sz w:val="20"/>
          <w:szCs w:val="20"/>
          <w:lang w:eastAsia="pl-PL"/>
        </w:rPr>
        <w:t>       b)</w:t>
      </w:r>
      <w:r w:rsidRPr="003C43EF">
        <w:rPr>
          <w:rFonts w:ascii="Times New Roman" w:eastAsia="Verdana" w:hAnsi="Times New Roman" w:cs="Times New Roman"/>
          <w:sz w:val="14"/>
          <w:szCs w:val="14"/>
          <w:lang w:eastAsia="pl-PL"/>
        </w:rPr>
        <w:t xml:space="preserve"> 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dodaje się przedmioty: animacja kultury studenckiej, ekonomia, prawo przedsiębiorców,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       socjologia,”.</w:t>
      </w:r>
    </w:p>
    <w:p w14:paraId="4AC81E36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14:paraId="7A3BD98D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§ 2</w:t>
      </w:r>
    </w:p>
    <w:p w14:paraId="6515F18D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Verdana" w:hAnsi="Verdana" w:cs="Verdana"/>
          <w:sz w:val="20"/>
          <w:szCs w:val="20"/>
          <w:lang w:eastAsia="pl-PL"/>
        </w:rPr>
        <w:lastRenderedPageBreak/>
        <w:t>1.</w:t>
      </w:r>
      <w:r w:rsidRPr="003C43EF">
        <w:rPr>
          <w:rFonts w:ascii="Times New Roman" w:eastAsia="Verdana" w:hAnsi="Times New Roman" w:cs="Times New Roman"/>
          <w:sz w:val="14"/>
          <w:szCs w:val="14"/>
          <w:lang w:eastAsia="pl-PL"/>
        </w:rPr>
        <w:t xml:space="preserve"> 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Zmieniony program studiów obowiązuje od II roku studiów cyklu kształcenia 2019/2020,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z zastrzeżeniem ust. 2 i 3.</w:t>
      </w:r>
    </w:p>
    <w:p w14:paraId="15E0ADD4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Verdana" w:hAnsi="Verdana" w:cs="Verdana"/>
          <w:sz w:val="20"/>
          <w:szCs w:val="20"/>
          <w:lang w:eastAsia="pl-PL"/>
        </w:rPr>
        <w:t>2.</w:t>
      </w:r>
      <w:r w:rsidRPr="003C43EF">
        <w:rPr>
          <w:rFonts w:ascii="Times New Roman" w:eastAsia="Verdana" w:hAnsi="Times New Roman" w:cs="Times New Roman"/>
          <w:sz w:val="14"/>
          <w:szCs w:val="14"/>
          <w:lang w:eastAsia="pl-PL"/>
        </w:rPr>
        <w:t xml:space="preserve"> 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Działania dostosowujące program studiów cyklu kształcenia 2019/2020 dotyczą zajęć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    dydaktycznych realizowanych w semestrach 3-4. </w:t>
      </w:r>
    </w:p>
    <w:p w14:paraId="67795E4D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Verdana" w:hAnsi="Verdana" w:cs="Verdana"/>
          <w:sz w:val="20"/>
          <w:szCs w:val="20"/>
          <w:lang w:eastAsia="pl-PL"/>
        </w:rPr>
        <w:t>3.</w:t>
      </w:r>
      <w:r w:rsidRPr="003C43EF">
        <w:rPr>
          <w:rFonts w:ascii="Times New Roman" w:eastAsia="Verdana" w:hAnsi="Times New Roman" w:cs="Times New Roman"/>
          <w:sz w:val="14"/>
          <w:szCs w:val="14"/>
          <w:lang w:eastAsia="pl-PL"/>
        </w:rPr>
        <w:t xml:space="preserve"> 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Zajęcia dydaktyczne przewidziane planem 3. semestru programu studiów rozpoczętego w roku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akademickim 2019/2020, zrealizowane do dnia wejścia w życie uchwały, spełniają wymagania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właściwe dla programu studiów, zmienionego niniejszą uchwałą.</w:t>
      </w:r>
    </w:p>
    <w:p w14:paraId="3623AA55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Verdana" w:hAnsi="Verdana" w:cs="Verdana"/>
          <w:sz w:val="20"/>
          <w:szCs w:val="20"/>
          <w:lang w:eastAsia="pl-PL"/>
        </w:rPr>
        <w:t>4.</w:t>
      </w:r>
      <w:r w:rsidRPr="003C43EF">
        <w:rPr>
          <w:rFonts w:ascii="Times New Roman" w:eastAsia="Verdana" w:hAnsi="Times New Roman" w:cs="Times New Roman"/>
          <w:sz w:val="14"/>
          <w:szCs w:val="14"/>
          <w:lang w:eastAsia="pl-PL"/>
        </w:rPr>
        <w:t xml:space="preserve"> 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Dziekan dostosuje program studiów cyklu kształcenia 2019/2020 do wymagań określonych </w:t>
      </w: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br/>
        <w:t>    w programie studiów, o którym mowa w ust. 1.</w:t>
      </w:r>
    </w:p>
    <w:p w14:paraId="114A4A1C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14:paraId="6A09D5BB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§ 3</w:t>
      </w:r>
    </w:p>
    <w:p w14:paraId="165964AB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sz w:val="20"/>
          <w:szCs w:val="20"/>
          <w:lang w:eastAsia="pl-PL"/>
        </w:rPr>
        <w:t>Uchwała wchodzi w życie z dniem jej podjęcia.</w:t>
      </w:r>
    </w:p>
    <w:p w14:paraId="7E779FA7" w14:textId="77777777" w:rsidR="003C43EF" w:rsidRPr="003C43EF" w:rsidRDefault="003C43EF" w:rsidP="003C4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Calibri" w:hAnsi="Verdana" w:cs="Times New Roman"/>
          <w:sz w:val="20"/>
          <w:szCs w:val="20"/>
          <w:lang w:eastAsia="pl-PL"/>
        </w:rPr>
        <w:t> </w:t>
      </w:r>
    </w:p>
    <w:p w14:paraId="4E34B7F6" w14:textId="77777777" w:rsidR="003C43EF" w:rsidRPr="003C43EF" w:rsidRDefault="003C43EF" w:rsidP="003C4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Przewodniczący Senatu</w:t>
      </w:r>
    </w:p>
    <w:p w14:paraId="57824097" w14:textId="77777777" w:rsidR="003C43EF" w:rsidRPr="003C43EF" w:rsidRDefault="003C43EF" w:rsidP="003C4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Rektor</w:t>
      </w:r>
    </w:p>
    <w:p w14:paraId="3AF4D419" w14:textId="77777777" w:rsidR="003C43EF" w:rsidRPr="003C43EF" w:rsidRDefault="003C43EF" w:rsidP="003C4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dr hab. Jerzy A. PRZYBOROWSKI, prof. UWM</w:t>
      </w:r>
    </w:p>
    <w:p w14:paraId="5D79847E" w14:textId="77777777" w:rsidR="003C43EF" w:rsidRPr="003C43EF" w:rsidRDefault="003C43EF" w:rsidP="003C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A33927" w14:textId="77777777" w:rsidR="000A50B3" w:rsidRDefault="000A50B3"/>
    <w:sectPr w:rsidR="000A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EF"/>
    <w:rsid w:val="000A50B3"/>
    <w:rsid w:val="003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9D2B"/>
  <w15:chartTrackingRefBased/>
  <w15:docId w15:val="{6335A77E-F756-4F2F-9FEA-E6E3CDEA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Szymańska</dc:creator>
  <cp:keywords/>
  <dc:description/>
  <cp:lastModifiedBy>Janina Szymańska</cp:lastModifiedBy>
  <cp:revision>1</cp:revision>
  <dcterms:created xsi:type="dcterms:W3CDTF">2021-01-12T09:27:00Z</dcterms:created>
  <dcterms:modified xsi:type="dcterms:W3CDTF">2021-01-12T09:29:00Z</dcterms:modified>
</cp:coreProperties>
</file>