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898" w:rsidRPr="0061703F" w:rsidRDefault="003E47B9" w:rsidP="003E47B9">
      <w:pPr>
        <w:spacing w:after="0"/>
        <w:jc w:val="right"/>
        <w:rPr>
          <w:rFonts w:ascii="Times New Roman" w:hAnsi="Times New Roman" w:cs="Times New Roman"/>
          <w:bCs/>
          <w:sz w:val="20"/>
          <w:szCs w:val="20"/>
        </w:rPr>
      </w:pPr>
      <w:r w:rsidRPr="0061703F">
        <w:rPr>
          <w:rFonts w:ascii="Times New Roman" w:hAnsi="Times New Roman" w:cs="Times New Roman"/>
          <w:bCs/>
          <w:sz w:val="20"/>
          <w:szCs w:val="20"/>
        </w:rPr>
        <w:t>Załącznik Nr 1</w:t>
      </w:r>
    </w:p>
    <w:p w:rsidR="003E47B9" w:rsidRPr="0061703F" w:rsidRDefault="003E47B9" w:rsidP="003E47B9">
      <w:pPr>
        <w:spacing w:after="0"/>
        <w:jc w:val="right"/>
        <w:rPr>
          <w:rFonts w:ascii="Times New Roman" w:hAnsi="Times New Roman" w:cs="Times New Roman"/>
          <w:bCs/>
          <w:sz w:val="20"/>
          <w:szCs w:val="20"/>
        </w:rPr>
      </w:pPr>
      <w:r w:rsidRPr="0061703F">
        <w:rPr>
          <w:rFonts w:ascii="Times New Roman" w:hAnsi="Times New Roman" w:cs="Times New Roman"/>
          <w:bCs/>
          <w:sz w:val="20"/>
          <w:szCs w:val="20"/>
        </w:rPr>
        <w:t>do Regulaminu Komisji</w:t>
      </w:r>
    </w:p>
    <w:p w:rsidR="003E47B9" w:rsidRPr="0061703F" w:rsidRDefault="003E47B9" w:rsidP="003E47B9">
      <w:pPr>
        <w:spacing w:after="0"/>
        <w:jc w:val="right"/>
        <w:rPr>
          <w:rFonts w:ascii="Times New Roman" w:hAnsi="Times New Roman" w:cs="Times New Roman"/>
          <w:bCs/>
          <w:sz w:val="20"/>
          <w:szCs w:val="20"/>
        </w:rPr>
      </w:pPr>
      <w:r w:rsidRPr="0061703F">
        <w:rPr>
          <w:rFonts w:ascii="Times New Roman" w:hAnsi="Times New Roman" w:cs="Times New Roman"/>
          <w:bCs/>
          <w:sz w:val="20"/>
          <w:szCs w:val="20"/>
        </w:rPr>
        <w:t xml:space="preserve"> ds. </w:t>
      </w:r>
      <w:r w:rsidR="00B66972" w:rsidRPr="0061703F">
        <w:rPr>
          <w:rFonts w:ascii="Times New Roman" w:hAnsi="Times New Roman" w:cs="Times New Roman"/>
          <w:bCs/>
          <w:sz w:val="20"/>
          <w:szCs w:val="20"/>
        </w:rPr>
        <w:t xml:space="preserve">Etyki </w:t>
      </w:r>
      <w:r w:rsidRPr="0061703F">
        <w:rPr>
          <w:rFonts w:ascii="Times New Roman" w:hAnsi="Times New Roman" w:cs="Times New Roman"/>
          <w:bCs/>
          <w:sz w:val="20"/>
          <w:szCs w:val="20"/>
        </w:rPr>
        <w:t>Badań Naukowych</w:t>
      </w:r>
    </w:p>
    <w:p w:rsidR="003E47B9" w:rsidRPr="0061703F" w:rsidRDefault="003E47B9" w:rsidP="003E47B9">
      <w:pPr>
        <w:spacing w:after="0"/>
        <w:jc w:val="right"/>
        <w:rPr>
          <w:rFonts w:ascii="Times New Roman" w:hAnsi="Times New Roman" w:cs="Times New Roman"/>
          <w:bCs/>
          <w:sz w:val="20"/>
          <w:szCs w:val="20"/>
        </w:rPr>
      </w:pPr>
    </w:p>
    <w:p w:rsidR="00864898" w:rsidRPr="00864898" w:rsidRDefault="00864898" w:rsidP="003E47B9">
      <w:pPr>
        <w:spacing w:after="0"/>
        <w:jc w:val="center"/>
        <w:rPr>
          <w:rFonts w:ascii="Times New Roman" w:hAnsi="Times New Roman" w:cs="Times New Roman"/>
          <w:b/>
          <w:sz w:val="24"/>
          <w:szCs w:val="24"/>
        </w:rPr>
      </w:pPr>
      <w:r>
        <w:rPr>
          <w:rFonts w:ascii="Times New Roman" w:hAnsi="Times New Roman" w:cs="Times New Roman"/>
          <w:b/>
          <w:sz w:val="24"/>
          <w:szCs w:val="24"/>
        </w:rPr>
        <w:t>PODSTAWOWE ZASADY ETYKI PROWADZENIA BADAŃ NAUKOWYCH</w:t>
      </w:r>
    </w:p>
    <w:p w:rsidR="004B4554" w:rsidRPr="004B4554" w:rsidRDefault="004B4554" w:rsidP="00BF4B01">
      <w:pPr>
        <w:spacing w:after="120"/>
        <w:jc w:val="both"/>
        <w:rPr>
          <w:rFonts w:ascii="Times New Roman" w:hAnsi="Times New Roman" w:cs="Times New Roman"/>
          <w:i/>
          <w:color w:val="FF0000"/>
          <w:sz w:val="24"/>
          <w:szCs w:val="24"/>
        </w:rPr>
      </w:pPr>
    </w:p>
    <w:p w:rsidR="00A4482C" w:rsidRPr="000A1BA4" w:rsidRDefault="00FA0BD6" w:rsidP="00B66972">
      <w:pPr>
        <w:pStyle w:val="Akapitzlist"/>
        <w:numPr>
          <w:ilvl w:val="0"/>
          <w:numId w:val="3"/>
        </w:numPr>
        <w:spacing w:after="120"/>
        <w:ind w:left="426" w:hanging="426"/>
        <w:jc w:val="both"/>
        <w:rPr>
          <w:rFonts w:ascii="Times New Roman" w:hAnsi="Times New Roman" w:cs="Times New Roman"/>
          <w:sz w:val="24"/>
          <w:szCs w:val="24"/>
        </w:rPr>
      </w:pPr>
      <w:r w:rsidRPr="00B66972">
        <w:rPr>
          <w:rFonts w:ascii="Times New Roman" w:hAnsi="Times New Roman" w:cs="Times New Roman"/>
          <w:i/>
          <w:sz w:val="24"/>
          <w:szCs w:val="24"/>
        </w:rPr>
        <w:t xml:space="preserve">Podstawowe Zasady etyki prowadzenia badań naukowych </w:t>
      </w:r>
      <w:r w:rsidRPr="00B66972">
        <w:rPr>
          <w:rFonts w:ascii="Times New Roman" w:hAnsi="Times New Roman" w:cs="Times New Roman"/>
          <w:sz w:val="24"/>
          <w:szCs w:val="24"/>
        </w:rPr>
        <w:t>w Uniwersytecie Warmińsko-Mazurskim w Olsztynie dotyczą nieinwazyjnych badań empirycznych z udziałem ludzi, które nie prowadzą do ingerencji w organizm badanego, w tym do pobierania płynów ustrojowych, podawania leków i wszelkich substa</w:t>
      </w:r>
      <w:bookmarkStart w:id="0" w:name="_GoBack"/>
      <w:bookmarkEnd w:id="0"/>
      <w:r w:rsidRPr="00B66972">
        <w:rPr>
          <w:rFonts w:ascii="Times New Roman" w:hAnsi="Times New Roman" w:cs="Times New Roman"/>
          <w:sz w:val="24"/>
          <w:szCs w:val="24"/>
        </w:rPr>
        <w:t xml:space="preserve">ncji uznawanych za szkodliwe lub zmieniające </w:t>
      </w:r>
      <w:r w:rsidRPr="000A1BA4">
        <w:rPr>
          <w:rFonts w:ascii="Times New Roman" w:hAnsi="Times New Roman" w:cs="Times New Roman"/>
          <w:sz w:val="24"/>
          <w:szCs w:val="24"/>
        </w:rPr>
        <w:t xml:space="preserve">stan psychiczny. </w:t>
      </w:r>
    </w:p>
    <w:p w:rsidR="00864898" w:rsidRPr="000A1BA4" w:rsidRDefault="00864898" w:rsidP="00B66972">
      <w:pPr>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Badanie nie powinno prowadzić</w:t>
      </w:r>
      <w:r w:rsidR="00FA0BD6" w:rsidRPr="000A1BA4">
        <w:rPr>
          <w:rFonts w:ascii="Times New Roman" w:hAnsi="Times New Roman" w:cs="Times New Roman"/>
          <w:sz w:val="24"/>
          <w:szCs w:val="24"/>
        </w:rPr>
        <w:t xml:space="preserve"> do trwałego obniżenia nastroju lub </w:t>
      </w:r>
      <w:r w:rsidRPr="000A1BA4">
        <w:rPr>
          <w:rFonts w:ascii="Times New Roman" w:hAnsi="Times New Roman" w:cs="Times New Roman"/>
          <w:sz w:val="24"/>
          <w:szCs w:val="24"/>
        </w:rPr>
        <w:t>narażać uczestników na stres o nasileniu potencjalnie szkodliwym dla ich zdrowia psychicznego.</w:t>
      </w:r>
    </w:p>
    <w:p w:rsidR="00864898" w:rsidRPr="000A1BA4" w:rsidRDefault="00864898" w:rsidP="00B66972">
      <w:pPr>
        <w:pStyle w:val="Akapitzlist"/>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Sposób pozyskiwania badanych nie powinien być oparty wyłącznie na motywacji   materialnej.</w:t>
      </w:r>
    </w:p>
    <w:p w:rsidR="00B66972" w:rsidRPr="000A1BA4" w:rsidRDefault="00864898" w:rsidP="00B66972">
      <w:pPr>
        <w:pStyle w:val="Akapitzlist"/>
        <w:numPr>
          <w:ilvl w:val="0"/>
          <w:numId w:val="3"/>
        </w:numPr>
        <w:spacing w:before="120" w:after="120"/>
        <w:ind w:left="425" w:hanging="425"/>
        <w:jc w:val="both"/>
        <w:rPr>
          <w:rFonts w:ascii="Times New Roman" w:hAnsi="Times New Roman" w:cs="Times New Roman"/>
          <w:sz w:val="24"/>
          <w:szCs w:val="24"/>
        </w:rPr>
      </w:pPr>
      <w:r w:rsidRPr="000A1BA4">
        <w:rPr>
          <w:rFonts w:ascii="Times New Roman" w:hAnsi="Times New Roman" w:cs="Times New Roman"/>
          <w:sz w:val="24"/>
          <w:szCs w:val="24"/>
        </w:rPr>
        <w:t>Badacz, prosząc o zgodę na udział w badaniu, nie może stosować żadnych form nacisku względem badanego.</w:t>
      </w:r>
    </w:p>
    <w:p w:rsidR="00864898" w:rsidRPr="000A1BA4" w:rsidRDefault="00864898">
      <w:pPr>
        <w:pStyle w:val="Akapitzlist"/>
        <w:numPr>
          <w:ilvl w:val="0"/>
          <w:numId w:val="3"/>
        </w:numPr>
        <w:spacing w:before="120" w:after="120"/>
        <w:ind w:left="425"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W przypadku, kiedy badacz będzie występował o pisemną zgodę na udział w badaniu uczestników, ich opiekunów lub instytucji, w których prowadzone będą badania, powinien przygotować formularz takiej zgody. </w:t>
      </w:r>
    </w:p>
    <w:p w:rsidR="00062270" w:rsidRPr="000A1BA4" w:rsidRDefault="00062270" w:rsidP="00062270">
      <w:pPr>
        <w:pStyle w:val="Akapitzlist"/>
        <w:numPr>
          <w:ilvl w:val="0"/>
          <w:numId w:val="3"/>
        </w:numPr>
        <w:spacing w:before="120" w:after="120"/>
        <w:ind w:left="425" w:hanging="425"/>
        <w:jc w:val="both"/>
        <w:rPr>
          <w:rFonts w:ascii="Times New Roman" w:hAnsi="Times New Roman" w:cs="Times New Roman"/>
          <w:sz w:val="24"/>
          <w:szCs w:val="24"/>
        </w:rPr>
      </w:pPr>
      <w:r w:rsidRPr="000A1BA4">
        <w:rPr>
          <w:rFonts w:ascii="Times New Roman" w:hAnsi="Times New Roman" w:cs="Times New Roman"/>
          <w:sz w:val="24"/>
          <w:szCs w:val="24"/>
        </w:rPr>
        <w:t>W uzasadnionych przypadkach (np.</w:t>
      </w:r>
      <w:r w:rsidR="00465C04" w:rsidRPr="000A1BA4">
        <w:rPr>
          <w:rFonts w:ascii="Times New Roman" w:hAnsi="Times New Roman" w:cs="Times New Roman"/>
          <w:sz w:val="24"/>
          <w:szCs w:val="24"/>
        </w:rPr>
        <w:t xml:space="preserve"> </w:t>
      </w:r>
      <w:r w:rsidRPr="000A1BA4">
        <w:rPr>
          <w:rFonts w:ascii="Times New Roman" w:hAnsi="Times New Roman" w:cs="Times New Roman"/>
          <w:sz w:val="24"/>
          <w:szCs w:val="24"/>
        </w:rPr>
        <w:t xml:space="preserve">grupowych badań anonimowych o charakterze ankietowym etc.) badacz nie musi występować o indywidualną zgodę badanych na udział w badaniu. </w:t>
      </w:r>
      <w:r w:rsidR="00465C04" w:rsidRPr="000A1BA4">
        <w:rPr>
          <w:rFonts w:ascii="Times New Roman" w:hAnsi="Times New Roman" w:cs="Times New Roman"/>
          <w:sz w:val="24"/>
          <w:szCs w:val="24"/>
        </w:rPr>
        <w:t>T</w:t>
      </w:r>
      <w:r w:rsidR="00C70C51" w:rsidRPr="000A1BA4">
        <w:rPr>
          <w:rFonts w:ascii="Times New Roman" w:hAnsi="Times New Roman" w:cs="Times New Roman"/>
          <w:sz w:val="24"/>
          <w:szCs w:val="24"/>
        </w:rPr>
        <w:t xml:space="preserve">akie </w:t>
      </w:r>
      <w:r w:rsidR="00465C04" w:rsidRPr="000A1BA4">
        <w:rPr>
          <w:rFonts w:ascii="Times New Roman" w:hAnsi="Times New Roman" w:cs="Times New Roman"/>
          <w:sz w:val="24"/>
          <w:szCs w:val="24"/>
        </w:rPr>
        <w:t>postępowanie jest możliwe</w:t>
      </w:r>
      <w:r w:rsidR="004675F3" w:rsidRPr="000A1BA4">
        <w:rPr>
          <w:rFonts w:ascii="Times New Roman" w:hAnsi="Times New Roman" w:cs="Times New Roman"/>
          <w:sz w:val="24"/>
          <w:szCs w:val="24"/>
        </w:rPr>
        <w:t>,</w:t>
      </w:r>
      <w:r w:rsidR="00465C04" w:rsidRPr="000A1BA4">
        <w:rPr>
          <w:rFonts w:ascii="Times New Roman" w:hAnsi="Times New Roman" w:cs="Times New Roman"/>
          <w:sz w:val="24"/>
          <w:szCs w:val="24"/>
        </w:rPr>
        <w:t xml:space="preserve"> gdy narzędzia badawcze nie zawierają tzw. pytań wrażliwych</w:t>
      </w:r>
      <w:r w:rsidR="004675F3" w:rsidRPr="000A1BA4">
        <w:rPr>
          <w:rFonts w:ascii="Times New Roman" w:hAnsi="Times New Roman" w:cs="Times New Roman"/>
          <w:sz w:val="24"/>
          <w:szCs w:val="24"/>
        </w:rPr>
        <w:t xml:space="preserve"> oraz spełnione są inne warunki (np. zgoda władz instytucji)</w:t>
      </w:r>
      <w:r w:rsidR="00465C04" w:rsidRPr="000A1BA4">
        <w:rPr>
          <w:rFonts w:ascii="Times New Roman" w:hAnsi="Times New Roman" w:cs="Times New Roman"/>
          <w:sz w:val="24"/>
          <w:szCs w:val="24"/>
        </w:rPr>
        <w:t xml:space="preserve">. </w:t>
      </w:r>
      <w:r w:rsidR="004675F3" w:rsidRPr="000A1BA4">
        <w:rPr>
          <w:rFonts w:ascii="Times New Roman" w:hAnsi="Times New Roman" w:cs="Times New Roman"/>
          <w:sz w:val="24"/>
          <w:szCs w:val="24"/>
        </w:rPr>
        <w:t>Przypadki takie będą</w:t>
      </w:r>
      <w:r w:rsidR="00465C04" w:rsidRPr="000A1BA4">
        <w:rPr>
          <w:rFonts w:ascii="Times New Roman" w:hAnsi="Times New Roman" w:cs="Times New Roman"/>
          <w:sz w:val="24"/>
          <w:szCs w:val="24"/>
        </w:rPr>
        <w:t xml:space="preserve"> przedmiotem szczególnej troski Komisji.</w:t>
      </w:r>
    </w:p>
    <w:p w:rsidR="00864898" w:rsidRPr="000A1BA4" w:rsidRDefault="00864898" w:rsidP="004675F3">
      <w:pPr>
        <w:numPr>
          <w:ilvl w:val="0"/>
          <w:numId w:val="3"/>
        </w:numPr>
        <w:spacing w:after="120"/>
        <w:ind w:left="426"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Przed przystąpieniem do badania, badany powinien zostać poinformowany o celu wykonywanego zadania i stosowanych procedurach. W sytuacjach, kiedy ze względu </w:t>
      </w:r>
      <w:r w:rsidRPr="000A1BA4">
        <w:rPr>
          <w:rFonts w:ascii="Times New Roman" w:hAnsi="Times New Roman" w:cs="Times New Roman"/>
          <w:sz w:val="24"/>
          <w:szCs w:val="24"/>
        </w:rPr>
        <w:br/>
        <w:t xml:space="preserve">na rodzaj badania informacji takich nie można udzielić przed ukończeniem badania, badany </w:t>
      </w:r>
      <w:r w:rsidR="00FA0BD6" w:rsidRPr="000A1BA4">
        <w:rPr>
          <w:rFonts w:ascii="Times New Roman" w:hAnsi="Times New Roman" w:cs="Times New Roman"/>
          <w:sz w:val="24"/>
          <w:szCs w:val="24"/>
        </w:rPr>
        <w:t>po</w:t>
      </w:r>
      <w:r w:rsidRPr="000A1BA4">
        <w:rPr>
          <w:rFonts w:ascii="Times New Roman" w:hAnsi="Times New Roman" w:cs="Times New Roman"/>
          <w:sz w:val="24"/>
          <w:szCs w:val="24"/>
        </w:rPr>
        <w:t xml:space="preserve">winien być powiadomiony, że wszelkie wyjaśnienia uzyska po ukończeniu badania. </w:t>
      </w:r>
    </w:p>
    <w:p w:rsidR="00864898" w:rsidRPr="000A1BA4" w:rsidRDefault="00864898" w:rsidP="004675F3">
      <w:pPr>
        <w:numPr>
          <w:ilvl w:val="0"/>
          <w:numId w:val="3"/>
        </w:numPr>
        <w:spacing w:after="120"/>
        <w:ind w:left="426"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Badacz jest zobowiązany poinformować osobę badaną o możliwości rezygnacji z udziału w badaniu w każdym momencie, bez podawania przyczyn i bez żadnych konsekwencji. </w:t>
      </w:r>
    </w:p>
    <w:p w:rsidR="00864898" w:rsidRPr="000A1BA4" w:rsidRDefault="00864898" w:rsidP="004675F3">
      <w:pPr>
        <w:pStyle w:val="Akapitzlist"/>
        <w:numPr>
          <w:ilvl w:val="0"/>
          <w:numId w:val="3"/>
        </w:numPr>
        <w:spacing w:after="120"/>
        <w:ind w:left="426" w:hanging="425"/>
        <w:jc w:val="both"/>
        <w:rPr>
          <w:rFonts w:ascii="Times New Roman" w:hAnsi="Times New Roman" w:cs="Times New Roman"/>
          <w:sz w:val="24"/>
          <w:szCs w:val="24"/>
        </w:rPr>
      </w:pPr>
      <w:r w:rsidRPr="000A1BA4">
        <w:rPr>
          <w:rFonts w:ascii="Times New Roman" w:hAnsi="Times New Roman" w:cs="Times New Roman"/>
          <w:sz w:val="24"/>
          <w:szCs w:val="24"/>
        </w:rPr>
        <w:t>Jeśli badanie ma charakter eksperymentu wówczas:</w:t>
      </w:r>
    </w:p>
    <w:p w:rsidR="00864898" w:rsidRPr="000A1BA4" w:rsidRDefault="00864898" w:rsidP="00895DEE">
      <w:pPr>
        <w:pStyle w:val="Akapitzlist"/>
        <w:numPr>
          <w:ilvl w:val="1"/>
          <w:numId w:val="2"/>
        </w:numPr>
        <w:spacing w:after="120"/>
        <w:ind w:left="851"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udział małoletniego jest dopuszczalny za pisemną zgodą jego przedstawiciela ustawowego. Jeżeli małoletni ukończył 16 lat lub nie ukończył 16 lat, ale jest </w:t>
      </w:r>
      <w:r w:rsidRPr="000A1BA4">
        <w:rPr>
          <w:rFonts w:ascii="Times New Roman" w:hAnsi="Times New Roman" w:cs="Times New Roman"/>
          <w:sz w:val="24"/>
          <w:szCs w:val="24"/>
        </w:rPr>
        <w:br/>
        <w:t xml:space="preserve">w stanie z rozeznaniem wypowiedzieć opinię w sprawie swego uczestnictwa </w:t>
      </w:r>
      <w:r w:rsidRPr="000A1BA4">
        <w:rPr>
          <w:rFonts w:ascii="Times New Roman" w:hAnsi="Times New Roman" w:cs="Times New Roman"/>
          <w:sz w:val="24"/>
          <w:szCs w:val="24"/>
        </w:rPr>
        <w:br/>
        <w:t>w badaniu, konieczna jest także jego pisemna zgoda;</w:t>
      </w:r>
    </w:p>
    <w:p w:rsidR="00864898" w:rsidRPr="000A1BA4" w:rsidRDefault="00864898" w:rsidP="00895DEE">
      <w:pPr>
        <w:pStyle w:val="Akapitzlist"/>
        <w:numPr>
          <w:ilvl w:val="1"/>
          <w:numId w:val="2"/>
        </w:numPr>
        <w:spacing w:after="120"/>
        <w:ind w:left="851"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w przypadku osoby całkowicie ubezwłasnowolnionej zgodę na udział tej osoby </w:t>
      </w:r>
      <w:r w:rsidRPr="000A1BA4">
        <w:rPr>
          <w:rFonts w:ascii="Times New Roman" w:hAnsi="Times New Roman" w:cs="Times New Roman"/>
          <w:sz w:val="24"/>
          <w:szCs w:val="24"/>
        </w:rPr>
        <w:br/>
        <w:t xml:space="preserve">w badaniach wyraża przedstawiciel ustawowy tej osoby. Jeżeli osoba taka jest </w:t>
      </w:r>
      <w:r w:rsidRPr="000A1BA4">
        <w:rPr>
          <w:rFonts w:ascii="Times New Roman" w:hAnsi="Times New Roman" w:cs="Times New Roman"/>
          <w:sz w:val="24"/>
          <w:szCs w:val="24"/>
        </w:rPr>
        <w:br/>
        <w:t xml:space="preserve">w stanie z rozeznaniem wypowiedzieć opinię w sprawie swojego uczestnictwa </w:t>
      </w:r>
      <w:r w:rsidRPr="000A1BA4">
        <w:rPr>
          <w:rFonts w:ascii="Times New Roman" w:hAnsi="Times New Roman" w:cs="Times New Roman"/>
          <w:sz w:val="24"/>
          <w:szCs w:val="24"/>
        </w:rPr>
        <w:br/>
        <w:t>w badaniach, konieczne jest ponadto uzyskanie pisemnej zgody tej osoby;</w:t>
      </w:r>
    </w:p>
    <w:p w:rsidR="00864898" w:rsidRPr="000A1BA4" w:rsidRDefault="00864898" w:rsidP="00895DEE">
      <w:pPr>
        <w:pStyle w:val="Akapitzlist"/>
        <w:numPr>
          <w:ilvl w:val="1"/>
          <w:numId w:val="2"/>
        </w:numPr>
        <w:spacing w:after="120"/>
        <w:ind w:left="851"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w przypadku osoby, która ma pełną zdolność do czynności prawnych, lecz </w:t>
      </w:r>
      <w:proofErr w:type="gramStart"/>
      <w:r w:rsidRPr="000A1BA4">
        <w:rPr>
          <w:rFonts w:ascii="Times New Roman" w:hAnsi="Times New Roman" w:cs="Times New Roman"/>
          <w:sz w:val="24"/>
          <w:szCs w:val="24"/>
        </w:rPr>
        <w:t>nie  jest</w:t>
      </w:r>
      <w:proofErr w:type="gramEnd"/>
      <w:r w:rsidRPr="000A1BA4">
        <w:rPr>
          <w:rFonts w:ascii="Times New Roman" w:hAnsi="Times New Roman" w:cs="Times New Roman"/>
          <w:sz w:val="24"/>
          <w:szCs w:val="24"/>
        </w:rPr>
        <w:t xml:space="preserve"> </w:t>
      </w:r>
      <w:r w:rsidRPr="000A1BA4">
        <w:rPr>
          <w:rFonts w:ascii="Times New Roman" w:hAnsi="Times New Roman" w:cs="Times New Roman"/>
          <w:sz w:val="24"/>
          <w:szCs w:val="24"/>
        </w:rPr>
        <w:br/>
        <w:t xml:space="preserve">w stanie z rozeznaniem wypowiedzieć opinii w sprawie swego uczestnictwa </w:t>
      </w:r>
      <w:r w:rsidRPr="000A1BA4">
        <w:rPr>
          <w:rFonts w:ascii="Times New Roman" w:hAnsi="Times New Roman" w:cs="Times New Roman"/>
          <w:sz w:val="24"/>
          <w:szCs w:val="24"/>
        </w:rPr>
        <w:br/>
        <w:t xml:space="preserve">w badaniach, zgodę na udział tej osoby w eksperymencie leczniczym wyraża sąd </w:t>
      </w:r>
      <w:r w:rsidRPr="000A1BA4">
        <w:rPr>
          <w:rFonts w:ascii="Times New Roman" w:hAnsi="Times New Roman" w:cs="Times New Roman"/>
          <w:sz w:val="24"/>
          <w:szCs w:val="24"/>
        </w:rPr>
        <w:lastRenderedPageBreak/>
        <w:t>opiekuńczy właściwy ze względu na siedzibę podmiotu przeprowadzającego eksperyment;</w:t>
      </w:r>
    </w:p>
    <w:p w:rsidR="00864898" w:rsidRPr="000A1BA4" w:rsidRDefault="00864898" w:rsidP="00895DEE">
      <w:pPr>
        <w:pStyle w:val="Akapitzlist"/>
        <w:numPr>
          <w:ilvl w:val="1"/>
          <w:numId w:val="2"/>
        </w:numPr>
        <w:spacing w:after="120"/>
        <w:ind w:left="851" w:hanging="425"/>
        <w:jc w:val="both"/>
        <w:rPr>
          <w:rFonts w:ascii="Times New Roman" w:hAnsi="Times New Roman" w:cs="Times New Roman"/>
          <w:sz w:val="24"/>
          <w:szCs w:val="24"/>
        </w:rPr>
      </w:pPr>
      <w:r w:rsidRPr="000A1BA4">
        <w:rPr>
          <w:rFonts w:ascii="Times New Roman" w:hAnsi="Times New Roman" w:cs="Times New Roman"/>
          <w:sz w:val="24"/>
          <w:szCs w:val="24"/>
        </w:rPr>
        <w:t xml:space="preserve">w przypadku, gdy przedstawiciel ustawowy odmawia zgody na udział chorego  </w:t>
      </w:r>
      <w:r w:rsidRPr="000A1BA4">
        <w:rPr>
          <w:rFonts w:ascii="Times New Roman" w:hAnsi="Times New Roman" w:cs="Times New Roman"/>
          <w:sz w:val="24"/>
          <w:szCs w:val="24"/>
        </w:rPr>
        <w:br/>
        <w:t xml:space="preserve">w badaniach, można zwrócić się do sądu opiekuńczego, właściwego ze względu </w:t>
      </w:r>
      <w:r w:rsidRPr="000A1BA4">
        <w:rPr>
          <w:rFonts w:ascii="Times New Roman" w:hAnsi="Times New Roman" w:cs="Times New Roman"/>
          <w:sz w:val="24"/>
          <w:szCs w:val="24"/>
        </w:rPr>
        <w:br/>
        <w:t xml:space="preserve">na siedzibę podmiotu przeprowadzającego badania, o wyrażenie zgody.  </w:t>
      </w:r>
    </w:p>
    <w:p w:rsidR="00864898" w:rsidRPr="000A1BA4" w:rsidRDefault="00864898" w:rsidP="00895DEE">
      <w:pPr>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 xml:space="preserve">Badania </w:t>
      </w:r>
      <w:r w:rsidR="00895DEE" w:rsidRPr="000A1BA4">
        <w:rPr>
          <w:rFonts w:ascii="Times New Roman" w:hAnsi="Times New Roman" w:cs="Times New Roman"/>
          <w:sz w:val="24"/>
          <w:szCs w:val="24"/>
        </w:rPr>
        <w:t>po</w:t>
      </w:r>
      <w:r w:rsidRPr="000A1BA4">
        <w:rPr>
          <w:rFonts w:ascii="Times New Roman" w:hAnsi="Times New Roman" w:cs="Times New Roman"/>
          <w:sz w:val="24"/>
          <w:szCs w:val="24"/>
        </w:rPr>
        <w:t xml:space="preserve">winny być przeprowadzone z zachowaniem zasady pełnej anonimowości, </w:t>
      </w:r>
      <w:r w:rsidRPr="000A1BA4">
        <w:rPr>
          <w:rFonts w:ascii="Times New Roman" w:hAnsi="Times New Roman" w:cs="Times New Roman"/>
          <w:sz w:val="24"/>
          <w:szCs w:val="24"/>
        </w:rPr>
        <w:br/>
        <w:t>o czym badacz winien zapewnić badanego przed przystąpieniem do zbierania danych. Żadne informacje udzielone przez badanego, jak również wyniki badania nie mogą być udostępnione osobom trzecim poza wykonawcami danego projektu. Jeśli zaistniałaby taka konieczność, badany winien być o niej poinformowany przed udzieleniem pisemnej zgody na udział w badaniu.</w:t>
      </w:r>
    </w:p>
    <w:p w:rsidR="00864898" w:rsidRPr="000A1BA4" w:rsidRDefault="00864898" w:rsidP="00895DEE">
      <w:pPr>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 xml:space="preserve">Badacz winien zapewnić, aby zebrane przez niego dane empiryczne powiązane z danymi osobowymi zostały należycie zabezpieczone przed dostępem osób trzecich. Dlatego też wszelkie niepotrzebne materiały zawierające dane osobowe winny być niszczone </w:t>
      </w:r>
      <w:r w:rsidRPr="000A1BA4">
        <w:rPr>
          <w:rFonts w:ascii="Times New Roman" w:hAnsi="Times New Roman" w:cs="Times New Roman"/>
          <w:sz w:val="24"/>
          <w:szCs w:val="24"/>
        </w:rPr>
        <w:br/>
        <w:t>w sposób uniemożliwiający identyfikację badanych. Badacz ma obowiązek prowadzić ewidencję osób zakwalifikowanych do prowadzonych badań oraz przechowywać zgody uzyskane od badanych na udział w badaniu. Dokumentacja ta podlega kontroli Komisji.</w:t>
      </w:r>
    </w:p>
    <w:p w:rsidR="00864898" w:rsidRPr="000A1BA4" w:rsidRDefault="00864898" w:rsidP="00895DEE">
      <w:pPr>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 xml:space="preserve">Zlecając wykonanie badania innym osobom (placówkom), badacz przedstawia </w:t>
      </w:r>
      <w:r w:rsidRPr="000A1BA4">
        <w:rPr>
          <w:rFonts w:ascii="Times New Roman" w:hAnsi="Times New Roman" w:cs="Times New Roman"/>
          <w:sz w:val="24"/>
          <w:szCs w:val="24"/>
        </w:rPr>
        <w:br/>
        <w:t xml:space="preserve">we wniosku składanym Komisji do opiniowania pełną procedurę badawczą, która będzie stosowana w trakcie badania. Badacz ma wówczas obowiązek nadzorowania, </w:t>
      </w:r>
      <w:r w:rsidRPr="000A1BA4">
        <w:rPr>
          <w:rFonts w:ascii="Times New Roman" w:hAnsi="Times New Roman" w:cs="Times New Roman"/>
          <w:sz w:val="24"/>
          <w:szCs w:val="24"/>
        </w:rPr>
        <w:br/>
        <w:t>czy realizacja badań odbywa się zgodnie z procedurą zawartą we wniosku przedłożonym Komisji do opiniowania.</w:t>
      </w:r>
    </w:p>
    <w:p w:rsidR="00864898" w:rsidRPr="000A1BA4" w:rsidRDefault="00864898" w:rsidP="00895DEE">
      <w:pPr>
        <w:numPr>
          <w:ilvl w:val="0"/>
          <w:numId w:val="3"/>
        </w:numPr>
        <w:spacing w:after="120"/>
        <w:ind w:left="426" w:hanging="426"/>
        <w:jc w:val="both"/>
        <w:rPr>
          <w:rFonts w:ascii="Times New Roman" w:hAnsi="Times New Roman" w:cs="Times New Roman"/>
          <w:sz w:val="24"/>
          <w:szCs w:val="24"/>
        </w:rPr>
      </w:pPr>
      <w:r w:rsidRPr="000A1BA4">
        <w:rPr>
          <w:rFonts w:ascii="Times New Roman" w:hAnsi="Times New Roman" w:cs="Times New Roman"/>
          <w:sz w:val="24"/>
          <w:szCs w:val="24"/>
        </w:rPr>
        <w:t>Osoba stosująca w badaniach testy, kwestionariusze lub inne metody badawcze, respektuje prawa autorskie i wydawnicze.</w:t>
      </w:r>
    </w:p>
    <w:p w:rsidR="00864898" w:rsidRPr="000A1BA4" w:rsidRDefault="00864898" w:rsidP="00895DEE">
      <w:pPr>
        <w:pStyle w:val="Akapitzlist"/>
        <w:numPr>
          <w:ilvl w:val="0"/>
          <w:numId w:val="3"/>
        </w:numPr>
        <w:spacing w:after="120"/>
        <w:ind w:left="426" w:hanging="426"/>
        <w:contextualSpacing w:val="0"/>
        <w:jc w:val="both"/>
        <w:rPr>
          <w:rFonts w:ascii="Times New Roman" w:hAnsi="Times New Roman" w:cs="Times New Roman"/>
          <w:sz w:val="24"/>
          <w:szCs w:val="24"/>
        </w:rPr>
      </w:pPr>
      <w:r w:rsidRPr="000A1BA4">
        <w:rPr>
          <w:rFonts w:ascii="Times New Roman" w:hAnsi="Times New Roman" w:cs="Times New Roman"/>
          <w:sz w:val="24"/>
          <w:szCs w:val="24"/>
        </w:rPr>
        <w:t>Badacz prowadzący badania naukowe o charakterze nieinwazyjnym z udziałem ludzi powinien respektować zasady zawarte w innych dokumentach, m.in. w „Kodeksie etyki pracownika naukowego” przyjętym na Zgromadzeniu Ogólnym PAN 13 grudnia 2012 r., w „Deklaracji Helsińskiej”, „Karcie Praw Podstawowych Unii Europejskiej”, „Konwencji o Prawach Człowieka i Biomedycynie Rady Europy</w:t>
      </w:r>
      <w:r w:rsidR="000E1315" w:rsidRPr="000A1BA4">
        <w:rPr>
          <w:rFonts w:ascii="Times New Roman" w:hAnsi="Times New Roman" w:cs="Times New Roman"/>
          <w:sz w:val="24"/>
          <w:szCs w:val="24"/>
        </w:rPr>
        <w:t xml:space="preserve">” oraz orzecznictwie krajowych i międzynarodowych organów sądowniczych. </w:t>
      </w:r>
    </w:p>
    <w:p w:rsidR="00267DA0" w:rsidRDefault="00267DA0" w:rsidP="00895DEE"/>
    <w:sectPr w:rsidR="00267DA0" w:rsidSect="003E47B9">
      <w:head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85" w:rsidRDefault="00CF2D85" w:rsidP="00864898">
      <w:pPr>
        <w:spacing w:after="0" w:line="240" w:lineRule="auto"/>
      </w:pPr>
      <w:r>
        <w:separator/>
      </w:r>
    </w:p>
  </w:endnote>
  <w:endnote w:type="continuationSeparator" w:id="0">
    <w:p w:rsidR="00CF2D85" w:rsidRDefault="00CF2D85" w:rsidP="0086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85" w:rsidRDefault="00CF2D85" w:rsidP="00864898">
      <w:pPr>
        <w:spacing w:after="0" w:line="240" w:lineRule="auto"/>
      </w:pPr>
      <w:r>
        <w:separator/>
      </w:r>
    </w:p>
  </w:footnote>
  <w:footnote w:type="continuationSeparator" w:id="0">
    <w:p w:rsidR="00CF2D85" w:rsidRDefault="00CF2D85" w:rsidP="0086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C04" w:rsidRDefault="00465C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8D3"/>
    <w:multiLevelType w:val="hybridMultilevel"/>
    <w:tmpl w:val="182C9E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333C1D"/>
    <w:multiLevelType w:val="hybridMultilevel"/>
    <w:tmpl w:val="3258A8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07D5662"/>
    <w:multiLevelType w:val="multilevel"/>
    <w:tmpl w:val="6E20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5688B"/>
    <w:multiLevelType w:val="hybridMultilevel"/>
    <w:tmpl w:val="F878B5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98"/>
    <w:rsid w:val="00062270"/>
    <w:rsid w:val="000A1BA4"/>
    <w:rsid w:val="000E1315"/>
    <w:rsid w:val="00267DA0"/>
    <w:rsid w:val="003823B6"/>
    <w:rsid w:val="00382893"/>
    <w:rsid w:val="003E47B9"/>
    <w:rsid w:val="003E4C69"/>
    <w:rsid w:val="004064A1"/>
    <w:rsid w:val="00465C04"/>
    <w:rsid w:val="004675F3"/>
    <w:rsid w:val="004B4554"/>
    <w:rsid w:val="0052099B"/>
    <w:rsid w:val="00542FD8"/>
    <w:rsid w:val="0061703F"/>
    <w:rsid w:val="006244FA"/>
    <w:rsid w:val="008259BA"/>
    <w:rsid w:val="00831F32"/>
    <w:rsid w:val="00864898"/>
    <w:rsid w:val="00895DEE"/>
    <w:rsid w:val="009660A1"/>
    <w:rsid w:val="00971B86"/>
    <w:rsid w:val="00A427E9"/>
    <w:rsid w:val="00A4482C"/>
    <w:rsid w:val="00A81D76"/>
    <w:rsid w:val="00AA558D"/>
    <w:rsid w:val="00B03B53"/>
    <w:rsid w:val="00B66972"/>
    <w:rsid w:val="00BF4B01"/>
    <w:rsid w:val="00C45DBD"/>
    <w:rsid w:val="00C70C51"/>
    <w:rsid w:val="00CF2D85"/>
    <w:rsid w:val="00D02D3E"/>
    <w:rsid w:val="00D13D77"/>
    <w:rsid w:val="00E241F9"/>
    <w:rsid w:val="00FA0BD6"/>
    <w:rsid w:val="00FA6A39"/>
    <w:rsid w:val="00FB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E4026-D72C-4012-8B34-7821D01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8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898"/>
    <w:pPr>
      <w:ind w:left="720"/>
      <w:contextualSpacing/>
    </w:pPr>
  </w:style>
  <w:style w:type="paragraph" w:styleId="Nagwek">
    <w:name w:val="header"/>
    <w:basedOn w:val="Normalny"/>
    <w:link w:val="NagwekZnak"/>
    <w:uiPriority w:val="99"/>
    <w:unhideWhenUsed/>
    <w:rsid w:val="00864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898"/>
  </w:style>
  <w:style w:type="paragraph" w:styleId="Stopka">
    <w:name w:val="footer"/>
    <w:basedOn w:val="Normalny"/>
    <w:link w:val="StopkaZnak"/>
    <w:uiPriority w:val="99"/>
    <w:unhideWhenUsed/>
    <w:rsid w:val="00864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898"/>
  </w:style>
  <w:style w:type="paragraph" w:styleId="Tekstdymka">
    <w:name w:val="Balloon Text"/>
    <w:basedOn w:val="Normalny"/>
    <w:link w:val="TekstdymkaZnak"/>
    <w:uiPriority w:val="99"/>
    <w:semiHidden/>
    <w:unhideWhenUsed/>
    <w:rsid w:val="008648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898"/>
    <w:rPr>
      <w:rFonts w:ascii="Tahoma" w:hAnsi="Tahoma" w:cs="Tahoma"/>
      <w:sz w:val="16"/>
      <w:szCs w:val="16"/>
    </w:rPr>
  </w:style>
  <w:style w:type="character" w:styleId="Odwoaniedokomentarza">
    <w:name w:val="annotation reference"/>
    <w:basedOn w:val="Domylnaczcionkaakapitu"/>
    <w:uiPriority w:val="99"/>
    <w:semiHidden/>
    <w:unhideWhenUsed/>
    <w:rsid w:val="00831F32"/>
    <w:rPr>
      <w:sz w:val="16"/>
      <w:szCs w:val="16"/>
    </w:rPr>
  </w:style>
  <w:style w:type="paragraph" w:styleId="Tekstkomentarza">
    <w:name w:val="annotation text"/>
    <w:basedOn w:val="Normalny"/>
    <w:link w:val="TekstkomentarzaZnak"/>
    <w:uiPriority w:val="99"/>
    <w:semiHidden/>
    <w:unhideWhenUsed/>
    <w:rsid w:val="00831F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F32"/>
    <w:rPr>
      <w:sz w:val="20"/>
      <w:szCs w:val="20"/>
    </w:rPr>
  </w:style>
  <w:style w:type="paragraph" w:styleId="Tematkomentarza">
    <w:name w:val="annotation subject"/>
    <w:basedOn w:val="Tekstkomentarza"/>
    <w:next w:val="Tekstkomentarza"/>
    <w:link w:val="TematkomentarzaZnak"/>
    <w:uiPriority w:val="99"/>
    <w:semiHidden/>
    <w:unhideWhenUsed/>
    <w:rsid w:val="00831F32"/>
    <w:rPr>
      <w:b/>
      <w:bCs/>
    </w:rPr>
  </w:style>
  <w:style w:type="character" w:customStyle="1" w:styleId="TematkomentarzaZnak">
    <w:name w:val="Temat komentarza Znak"/>
    <w:basedOn w:val="TekstkomentarzaZnak"/>
    <w:link w:val="Tematkomentarza"/>
    <w:uiPriority w:val="99"/>
    <w:semiHidden/>
    <w:rsid w:val="00831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4195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Smoczyńska</dc:creator>
  <cp:lastModifiedBy>Joanna Bondaruk-Przepióra</cp:lastModifiedBy>
  <cp:revision>4</cp:revision>
  <cp:lastPrinted>2017-03-13T07:12:00Z</cp:lastPrinted>
  <dcterms:created xsi:type="dcterms:W3CDTF">2020-09-24T08:11:00Z</dcterms:created>
  <dcterms:modified xsi:type="dcterms:W3CDTF">2022-04-29T08:05:00Z</dcterms:modified>
</cp:coreProperties>
</file>